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4" w:lineRule="exact"/>
        <w:rPr>
          <w:sz w:val="24"/>
          <w:szCs w:val="24"/>
          <w:color w:val="auto"/>
        </w:rPr>
      </w:pPr>
    </w:p>
    <w:p>
      <w:pPr>
        <w:ind w:left="840" w:hanging="794"/>
        <w:spacing w:after="0"/>
        <w:tabs>
          <w:tab w:leader="none" w:pos="8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9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31"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840" w:hanging="794"/>
        <w:spacing w:after="0"/>
        <w:tabs>
          <w:tab w:leader="none" w:pos="840"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8" w:lineRule="exact"/>
        <w:rPr>
          <w:sz w:val="24"/>
          <w:szCs w:val="24"/>
          <w:color w:val="auto"/>
        </w:rPr>
      </w:pPr>
    </w:p>
    <w:tbl>
      <w:tblPr>
        <w:tblLayout w:type="fixed"/>
        <w:tblInd w:w="41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00" w:type="dxa"/>
            <w:vAlign w:val="bottom"/>
            <w:tcBorders>
              <w:bottom w:val="single" w:sz="8" w:color="auto"/>
            </w:tcBorders>
          </w:tcPr>
          <w:p>
            <w:pPr>
              <w:spacing w:after="0"/>
              <w:rPr>
                <w:sz w:val="17"/>
                <w:szCs w:val="17"/>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79"/>
              </w:rPr>
              <w:t>to</w:t>
            </w:r>
          </w:p>
        </w:tc>
      </w:tr>
      <w:tr>
        <w:trPr>
          <w:trHeight w:val="237"/>
        </w:trPr>
        <w:tc>
          <w:tcPr>
            <w:tcW w:w="2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Commission file number 033-90866</w:t>
            </w:r>
          </w:p>
        </w:tc>
        <w:tc>
          <w:tcPr>
            <w:tcW w:w="1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4605655</wp:posOffset>
            </wp:positionH>
            <wp:positionV relativeFrom="paragraph">
              <wp:posOffset>-162560</wp:posOffset>
            </wp:positionV>
            <wp:extent cx="3143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WESTINGHOUSE AIR BRAKE TECHNOLOGIES CORPORATION</w:t>
      </w:r>
    </w:p>
    <w:p>
      <w:pPr>
        <w:spacing w:after="0" w:line="50" w:lineRule="exact"/>
        <w:rPr>
          <w:sz w:val="24"/>
          <w:szCs w:val="24"/>
          <w:color w:val="auto"/>
        </w:rPr>
      </w:pPr>
    </w:p>
    <w:tbl>
      <w:tblPr>
        <w:tblLayout w:type="fixed"/>
        <w:tblInd w:w="1020" w:type="dxa"/>
        <w:tblCellMar>
          <w:top w:w="0" w:type="dxa"/>
          <w:left w:w="0" w:type="dxa"/>
          <w:bottom w:w="0" w:type="dxa"/>
          <w:right w:w="0" w:type="dxa"/>
        </w:tblCellMar>
      </w:tblPr>
      <w:tr>
        <w:trPr>
          <w:trHeight w:val="187"/>
        </w:trPr>
        <w:tc>
          <w:tcPr>
            <w:tcW w:w="6280" w:type="dxa"/>
            <w:vAlign w:val="bottom"/>
          </w:tcPr>
          <w:p>
            <w:pPr>
              <w:ind w:left="30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280" w:type="dxa"/>
            <w:vAlign w:val="bottom"/>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100" w:type="dxa"/>
            <w:vAlign w:val="bottom"/>
          </w:tcPr>
          <w:p>
            <w:pPr>
              <w:jc w:val="center"/>
              <w:ind w:left="61"/>
              <w:spacing w:after="0"/>
              <w:rPr>
                <w:sz w:val="20"/>
                <w:szCs w:val="20"/>
                <w:color w:val="auto"/>
              </w:rPr>
            </w:pPr>
            <w:r>
              <w:rPr>
                <w:rFonts w:ascii="Times New Roman" w:cs="Times New Roman" w:eastAsia="Times New Roman" w:hAnsi="Times New Roman"/>
                <w:sz w:val="18"/>
                <w:szCs w:val="18"/>
                <w:b w:val="1"/>
                <w:bCs w:val="1"/>
                <w:color w:val="auto"/>
              </w:rPr>
              <w:t>25-1615902</w:t>
            </w:r>
          </w:p>
        </w:tc>
        <w:tc>
          <w:tcPr>
            <w:tcW w:w="0" w:type="dxa"/>
            <w:vAlign w:val="bottom"/>
          </w:tcPr>
          <w:p>
            <w:pPr>
              <w:spacing w:after="0"/>
              <w:rPr>
                <w:sz w:val="1"/>
                <w:szCs w:val="1"/>
                <w:color w:val="auto"/>
              </w:rPr>
            </w:pPr>
          </w:p>
        </w:tc>
      </w:tr>
      <w:tr>
        <w:trPr>
          <w:trHeight w:val="148"/>
        </w:trPr>
        <w:tc>
          <w:tcPr>
            <w:tcW w:w="6280" w:type="dxa"/>
            <w:vAlign w:val="bottom"/>
          </w:tcPr>
          <w:p>
            <w:pPr>
              <w:jc w:val="center"/>
              <w:ind w:right="260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100" w:type="dxa"/>
            <w:vAlign w:val="bottom"/>
          </w:tcPr>
          <w:p>
            <w:pPr>
              <w:jc w:val="center"/>
              <w:ind w:left="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6280" w:type="dxa"/>
            <w:vAlign w:val="bottom"/>
          </w:tcPr>
          <w:p>
            <w:pPr>
              <w:jc w:val="center"/>
              <w:ind w:right="26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10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07"/>
        </w:trPr>
        <w:tc>
          <w:tcPr>
            <w:tcW w:w="6280" w:type="dxa"/>
            <w:vAlign w:val="bottom"/>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30 Isabella Street</w:t>
            </w:r>
          </w:p>
        </w:tc>
        <w:tc>
          <w:tcPr>
            <w:tcW w:w="2100" w:type="dxa"/>
            <w:vAlign w:val="bottom"/>
            <w:vMerge w:val="restart"/>
          </w:tcPr>
          <w:p>
            <w:pPr>
              <w:jc w:val="center"/>
              <w:ind w:left="21"/>
              <w:spacing w:after="0"/>
              <w:rPr>
                <w:sz w:val="20"/>
                <w:szCs w:val="20"/>
                <w:color w:val="auto"/>
              </w:rPr>
            </w:pPr>
            <w:r>
              <w:rPr>
                <w:rFonts w:ascii="Times New Roman" w:cs="Times New Roman" w:eastAsia="Times New Roman" w:hAnsi="Times New Roman"/>
                <w:sz w:val="18"/>
                <w:szCs w:val="18"/>
                <w:b w:val="1"/>
                <w:bCs w:val="1"/>
                <w:color w:val="auto"/>
                <w:w w:val="99"/>
              </w:rPr>
              <w:t>(412) 825-1000</w:t>
            </w:r>
          </w:p>
        </w:tc>
        <w:tc>
          <w:tcPr>
            <w:tcW w:w="0" w:type="dxa"/>
            <w:vAlign w:val="bottom"/>
          </w:tcPr>
          <w:p>
            <w:pPr>
              <w:spacing w:after="0"/>
              <w:rPr>
                <w:sz w:val="1"/>
                <w:szCs w:val="1"/>
                <w:color w:val="auto"/>
              </w:rPr>
            </w:pPr>
          </w:p>
        </w:tc>
      </w:tr>
      <w:tr>
        <w:trPr>
          <w:trHeight w:val="232"/>
        </w:trPr>
        <w:tc>
          <w:tcPr>
            <w:tcW w:w="6280" w:type="dxa"/>
            <w:vAlign w:val="bottom"/>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9"/>
              </w:rPr>
              <w:t>Pittsburgh, Pennsylvania 15212</w:t>
            </w: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280" w:type="dxa"/>
            <w:vAlign w:val="bottom"/>
          </w:tcPr>
          <w:p>
            <w:pPr>
              <w:jc w:val="center"/>
              <w:ind w:right="26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10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0" w:type="dxa"/>
            <w:vAlign w:val="bottom"/>
          </w:tcPr>
          <w:p>
            <w:pPr>
              <w:spacing w:after="0"/>
              <w:rPr>
                <w:sz w:val="1"/>
                <w:szCs w:val="1"/>
                <w:color w:val="auto"/>
              </w:rPr>
            </w:pPr>
          </w:p>
        </w:tc>
      </w:tr>
    </w:tbl>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340" w:type="dxa"/>
            <w:vAlign w:val="bottom"/>
            <w:tcBorders>
              <w:bottom w:val="single" w:sz="8" w:color="auto"/>
            </w:tcBorders>
          </w:tcPr>
          <w:p>
            <w:pPr>
              <w:jc w:val="center"/>
              <w:ind w:left="324"/>
              <w:spacing w:after="0"/>
              <w:rPr>
                <w:sz w:val="20"/>
                <w:szCs w:val="20"/>
                <w:color w:val="auto"/>
              </w:rPr>
            </w:pPr>
            <w:r>
              <w:rPr>
                <w:rFonts w:ascii="Times New Roman" w:cs="Times New Roman" w:eastAsia="Times New Roman" w:hAnsi="Times New Roman"/>
                <w:sz w:val="15"/>
                <w:szCs w:val="15"/>
                <w:b w:val="1"/>
                <w:bCs w:val="1"/>
                <w:color w:val="auto"/>
                <w:w w:val="99"/>
              </w:rPr>
              <w:t>Class</w:t>
            </w:r>
          </w:p>
        </w:tc>
        <w:tc>
          <w:tcPr>
            <w:tcW w:w="3900" w:type="dxa"/>
            <w:vAlign w:val="bottom"/>
            <w:tcBorders>
              <w:bottom w:val="single" w:sz="8" w:color="auto"/>
            </w:tcBorders>
          </w:tcPr>
          <w:p>
            <w:pPr>
              <w:jc w:val="center"/>
              <w:ind w:left="564"/>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jc w:val="center"/>
              <w:ind w:right="224"/>
              <w:spacing w:after="0"/>
              <w:rPr>
                <w:sz w:val="20"/>
                <w:szCs w:val="20"/>
                <w:color w:val="auto"/>
              </w:rPr>
            </w:pPr>
            <w:r>
              <w:rPr>
                <w:rFonts w:ascii="Times New Roman" w:cs="Times New Roman" w:eastAsia="Times New Roman" w:hAnsi="Times New Roman"/>
                <w:sz w:val="15"/>
                <w:szCs w:val="15"/>
                <w:b w:val="1"/>
                <w:bCs w:val="1"/>
                <w:color w:val="auto"/>
              </w:rPr>
              <w:t>Name of Exchange on which registered</w:t>
            </w:r>
          </w:p>
        </w:tc>
      </w:tr>
      <w:tr>
        <w:trPr>
          <w:trHeight w:val="196"/>
        </w:trPr>
        <w:tc>
          <w:tcPr>
            <w:tcW w:w="3340" w:type="dxa"/>
            <w:vAlign w:val="bottom"/>
          </w:tcPr>
          <w:p>
            <w:pPr>
              <w:jc w:val="center"/>
              <w:ind w:left="324"/>
              <w:spacing w:after="0"/>
              <w:rPr>
                <w:sz w:val="20"/>
                <w:szCs w:val="20"/>
                <w:color w:val="auto"/>
              </w:rPr>
            </w:pPr>
            <w:r>
              <w:rPr>
                <w:rFonts w:ascii="Times New Roman" w:cs="Times New Roman" w:eastAsia="Times New Roman" w:hAnsi="Times New Roman"/>
                <w:sz w:val="15"/>
                <w:szCs w:val="15"/>
                <w:color w:val="auto"/>
              </w:rPr>
              <w:t>Common Stock, par value $.01 per share</w:t>
            </w:r>
          </w:p>
        </w:tc>
        <w:tc>
          <w:tcPr>
            <w:tcW w:w="3900" w:type="dxa"/>
            <w:vAlign w:val="bottom"/>
          </w:tcPr>
          <w:p>
            <w:pPr>
              <w:jc w:val="center"/>
              <w:ind w:left="564"/>
              <w:spacing w:after="0"/>
              <w:rPr>
                <w:sz w:val="20"/>
                <w:szCs w:val="20"/>
                <w:color w:val="auto"/>
              </w:rPr>
            </w:pPr>
            <w:r>
              <w:rPr>
                <w:rFonts w:ascii="Times New Roman" w:cs="Times New Roman" w:eastAsia="Times New Roman" w:hAnsi="Times New Roman"/>
                <w:sz w:val="15"/>
                <w:szCs w:val="15"/>
                <w:color w:val="auto"/>
                <w:w w:val="97"/>
              </w:rPr>
              <w:t>WAB</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40" w:type="dxa"/>
            <w:vAlign w:val="bottom"/>
          </w:tcPr>
          <w:p>
            <w:pPr>
              <w:jc w:val="center"/>
              <w:ind w:right="224"/>
              <w:spacing w:after="0"/>
              <w:rPr>
                <w:sz w:val="20"/>
                <w:szCs w:val="20"/>
                <w:color w:val="auto"/>
              </w:rPr>
            </w:pPr>
            <w:r>
              <w:rPr>
                <w:rFonts w:ascii="Times New Roman" w:cs="Times New Roman" w:eastAsia="Times New Roman" w:hAnsi="Times New Roman"/>
                <w:sz w:val="15"/>
                <w:szCs w:val="15"/>
                <w:color w:val="auto"/>
              </w:rPr>
              <w:t>New York Stock Exchange</w:t>
            </w:r>
          </w:p>
        </w:tc>
      </w:tr>
      <w:tr>
        <w:trPr>
          <w:trHeight w:val="266"/>
        </w:trPr>
        <w:tc>
          <w:tcPr>
            <w:tcW w:w="3340" w:type="dxa"/>
            <w:vAlign w:val="bottom"/>
          </w:tcPr>
          <w:p>
            <w:pPr>
              <w:spacing w:after="0"/>
              <w:rPr>
                <w:sz w:val="23"/>
                <w:szCs w:val="23"/>
                <w:color w:val="auto"/>
              </w:rPr>
            </w:pPr>
          </w:p>
        </w:tc>
        <w:tc>
          <w:tcPr>
            <w:tcW w:w="446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tc>
        <w:tc>
          <w:tcPr>
            <w:tcW w:w="3440" w:type="dxa"/>
            <w:vAlign w:val="bottom"/>
          </w:tcPr>
          <w:p>
            <w:pPr>
              <w:spacing w:after="0"/>
              <w:rPr>
                <w:sz w:val="23"/>
                <w:szCs w:val="23"/>
                <w:color w:val="auto"/>
              </w:rPr>
            </w:pPr>
          </w:p>
        </w:tc>
      </w:tr>
      <w:tr>
        <w:trPr>
          <w:trHeight w:val="252"/>
        </w:trPr>
        <w:tc>
          <w:tcPr>
            <w:tcW w:w="7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tc>
        <w:tc>
          <w:tcPr>
            <w:tcW w:w="32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85"/>
              </w:rPr>
              <w:t>Yes</w:t>
            </w:r>
          </w:p>
        </w:tc>
        <w:tc>
          <w:tcPr>
            <w:tcW w:w="240" w:type="dxa"/>
            <w:vAlign w:val="bottom"/>
          </w:tcPr>
          <w:p>
            <w:pPr>
              <w:ind w:left="80"/>
              <w:spacing w:after="0" w:line="151" w:lineRule="exact"/>
              <w:rPr>
                <w:sz w:val="20"/>
                <w:szCs w:val="20"/>
                <w:color w:val="auto"/>
              </w:rPr>
            </w:pPr>
            <w:r>
              <w:rPr>
                <w:rFonts w:ascii="MS PGothic" w:cs="MS PGothic" w:eastAsia="MS PGothic" w:hAnsi="MS PGothic"/>
                <w:sz w:val="15"/>
                <w:szCs w:val="15"/>
                <w:color w:val="auto"/>
                <w:highlight w:val="black"/>
                <w:w w:val="93"/>
              </w:rPr>
              <w:t>☒</w:t>
            </w:r>
          </w:p>
        </w:tc>
        <w:tc>
          <w:tcPr>
            <w:tcW w:w="3440" w:type="dxa"/>
            <w:vAlign w:val="bottom"/>
          </w:tcPr>
          <w:p>
            <w:pPr>
              <w:ind w:left="120"/>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w:t>
            </w:r>
          </w:p>
        </w:tc>
      </w:tr>
      <w:tr>
        <w:trPr>
          <w:trHeight w:val="258"/>
        </w:trPr>
        <w:tc>
          <w:tcPr>
            <w:tcW w:w="7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15(d) of the Act.  Yes</w:t>
            </w:r>
          </w:p>
        </w:tc>
        <w:tc>
          <w:tcPr>
            <w:tcW w:w="32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5"/>
                <w:szCs w:val="15"/>
                <w:color w:val="auto"/>
              </w:rPr>
              <w:t>No</w:t>
            </w:r>
          </w:p>
        </w:tc>
        <w:tc>
          <w:tcPr>
            <w:tcW w:w="3440" w:type="dxa"/>
            <w:vAlign w:val="bottom"/>
          </w:tcPr>
          <w:p>
            <w:pPr>
              <w:ind w:left="20"/>
              <w:spacing w:after="0" w:line="173" w:lineRule="exact"/>
              <w:rPr>
                <w:sz w:val="20"/>
                <w:szCs w:val="20"/>
                <w:color w:val="auto"/>
              </w:rPr>
            </w:pP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w:t>
            </w:r>
          </w:p>
        </w:tc>
      </w:tr>
    </w:tbl>
    <w:p>
      <w:pPr>
        <w:spacing w:after="0" w:line="7" w:lineRule="exact"/>
        <w:rPr>
          <w:sz w:val="24"/>
          <w:szCs w:val="24"/>
          <w:color w:val="auto"/>
        </w:rPr>
      </w:pPr>
    </w:p>
    <w:p>
      <w:pPr>
        <w:ind w:right="340"/>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w:t>
      </w:r>
    </w:p>
    <w:p>
      <w:pPr>
        <w:spacing w:after="0" w:line="7" w:lineRule="exact"/>
        <w:rPr>
          <w:sz w:val="24"/>
          <w:szCs w:val="24"/>
          <w:color w:val="auto"/>
        </w:rPr>
      </w:pPr>
    </w:p>
    <w:p>
      <w:pPr>
        <w:ind w:right="360"/>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20" w:type="dxa"/>
        <w:tblCellMar>
          <w:top w:w="0" w:type="dxa"/>
          <w:left w:w="0" w:type="dxa"/>
          <w:bottom w:w="0" w:type="dxa"/>
          <w:right w:w="0" w:type="dxa"/>
        </w:tblCellMar>
      </w:tblPr>
      <w:tr>
        <w:trPr>
          <w:trHeight w:val="285"/>
        </w:trPr>
        <w:tc>
          <w:tcPr>
            <w:tcW w:w="20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620" w:type="dxa"/>
            <w:vAlign w:val="bottom"/>
          </w:tcPr>
          <w:p>
            <w:pPr>
              <w:ind w:left="340"/>
              <w:spacing w:after="0" w:line="151" w:lineRule="exact"/>
              <w:rPr>
                <w:sz w:val="20"/>
                <w:szCs w:val="20"/>
                <w:color w:val="auto"/>
              </w:rPr>
            </w:pPr>
            <w:r>
              <w:rPr>
                <w:rFonts w:ascii="MS PGothic" w:cs="MS PGothic" w:eastAsia="MS PGothic" w:hAnsi="MS PGothic"/>
                <w:sz w:val="15"/>
                <w:szCs w:val="15"/>
                <w:color w:val="auto"/>
                <w:highlight w:val="black"/>
              </w:rPr>
              <w:t>☒</w:t>
            </w:r>
          </w:p>
        </w:tc>
        <w:tc>
          <w:tcPr>
            <w:tcW w:w="2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Accelerated filer</w:t>
            </w:r>
          </w:p>
        </w:tc>
        <w:tc>
          <w:tcPr>
            <w:tcW w:w="60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17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Non-accelerated filer</w:t>
            </w:r>
          </w:p>
        </w:tc>
        <w:tc>
          <w:tcPr>
            <w:tcW w:w="400" w:type="dxa"/>
            <w:vAlign w:val="bottom"/>
          </w:tcPr>
          <w:p>
            <w:pPr>
              <w:ind w:left="2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3"/>
        </w:trPr>
        <w:tc>
          <w:tcPr>
            <w:tcW w:w="202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62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2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0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1720" w:type="dxa"/>
            <w:vAlign w:val="bottom"/>
          </w:tcPr>
          <w:p>
            <w:pPr>
              <w:spacing w:after="0"/>
              <w:rPr>
                <w:sz w:val="23"/>
                <w:szCs w:val="23"/>
                <w:color w:val="auto"/>
              </w:rPr>
            </w:pPr>
          </w:p>
        </w:tc>
        <w:tc>
          <w:tcPr>
            <w:tcW w:w="400" w:type="dxa"/>
            <w:vAlign w:val="bottom"/>
          </w:tcPr>
          <w:p>
            <w:pPr>
              <w:spacing w:after="0"/>
              <w:rPr>
                <w:sz w:val="23"/>
                <w:szCs w:val="23"/>
                <w:color w:val="auto"/>
              </w:rPr>
            </w:pPr>
          </w:p>
        </w:tc>
      </w:tr>
    </w:tbl>
    <w:p>
      <w:pPr>
        <w:spacing w:after="0" w:line="126" w:lineRule="exact"/>
        <w:rPr>
          <w:sz w:val="24"/>
          <w:szCs w:val="24"/>
          <w:color w:val="auto"/>
        </w:rPr>
      </w:pPr>
    </w:p>
    <w:p>
      <w:pPr>
        <w:ind w:right="600"/>
        <w:spacing w:after="0" w:line="20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1" w:lineRule="exact"/>
        <w:rPr>
          <w:sz w:val="24"/>
          <w:szCs w:val="24"/>
          <w:color w:val="auto"/>
        </w:rPr>
      </w:pPr>
    </w:p>
    <w:p>
      <w:pPr>
        <w:ind w:right="240"/>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highlight w:val="black"/>
        </w:rPr>
        <w:t>☒</w:t>
      </w:r>
    </w:p>
    <w:p>
      <w:pPr>
        <w:spacing w:after="0" w:line="22" w:lineRule="exact"/>
        <w:rPr>
          <w:sz w:val="24"/>
          <w:szCs w:val="24"/>
          <w:color w:val="auto"/>
        </w:rPr>
      </w:pPr>
    </w:p>
    <w:p>
      <w:pPr>
        <w:ind w:right="100"/>
        <w:spacing w:after="0" w:line="199"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22" w:lineRule="exact"/>
        <w:rPr>
          <w:sz w:val="24"/>
          <w:szCs w:val="24"/>
          <w:color w:val="auto"/>
        </w:rPr>
      </w:pPr>
    </w:p>
    <w:p>
      <w:pPr>
        <w:ind w:right="220"/>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73" w:lineRule="exact"/>
        <w:tabs>
          <w:tab w:leader="none" w:pos="7080" w:val="left"/>
          <w:tab w:leader="none" w:pos="766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highlight w:val="black"/>
        </w:rPr>
        <w:t>☒</w:t>
      </w:r>
      <w:r>
        <w:rPr>
          <w:rFonts w:ascii="Times New Roman" w:cs="Times New Roman" w:eastAsia="Times New Roman" w:hAnsi="Times New Roman"/>
          <w:sz w:val="15"/>
          <w:szCs w:val="15"/>
          <w:color w:val="auto"/>
        </w:rPr>
        <w:t>.</w:t>
      </w:r>
    </w:p>
    <w:p>
      <w:pPr>
        <w:spacing w:after="0" w:line="78" w:lineRule="exact"/>
        <w:rPr>
          <w:sz w:val="24"/>
          <w:szCs w:val="24"/>
          <w:color w:val="auto"/>
        </w:rPr>
      </w:pPr>
    </w:p>
    <w:p>
      <w:pPr>
        <w:ind w:right="140"/>
        <w:spacing w:after="0" w:line="280" w:lineRule="auto"/>
        <w:rPr>
          <w:sz w:val="20"/>
          <w:szCs w:val="20"/>
          <w:color w:val="auto"/>
        </w:rPr>
      </w:pPr>
      <w:r>
        <w:rPr>
          <w:rFonts w:ascii="Times New Roman" w:cs="Times New Roman" w:eastAsia="Times New Roman" w:hAnsi="Times New Roman"/>
          <w:sz w:val="15"/>
          <w:szCs w:val="15"/>
          <w:color w:val="auto"/>
        </w:rPr>
        <w:t>The registrant estimates that as of June 30, 2025, the aggregate market value of the voting shares held by non-affiliates of the registrant was approximately $31.1 billion based on the closing price on the New York Stock Exchange for such stock.</w:t>
      </w:r>
    </w:p>
    <w:p>
      <w:pPr>
        <w:spacing w:after="0" w:line="16"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5"/>
          <w:szCs w:val="15"/>
          <w:color w:val="auto"/>
        </w:rPr>
        <w:t>As of February 9, 2026, 170,517,190 shares of Common Stock of the registrant were issued and outstanding.</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7" w:lineRule="exact"/>
        <w:rPr>
          <w:sz w:val="24"/>
          <w:szCs w:val="24"/>
          <w:color w:val="auto"/>
        </w:rPr>
      </w:pPr>
    </w:p>
    <w:p>
      <w:pPr>
        <w:ind w:right="280" w:firstLine="486"/>
        <w:spacing w:after="0" w:line="257" w:lineRule="auto"/>
        <w:rPr>
          <w:sz w:val="20"/>
          <w:szCs w:val="20"/>
          <w:color w:val="auto"/>
        </w:rPr>
      </w:pPr>
      <w:r>
        <w:rPr>
          <w:rFonts w:ascii="Times New Roman" w:cs="Times New Roman" w:eastAsia="Times New Roman" w:hAnsi="Times New Roman"/>
          <w:sz w:val="16"/>
          <w:szCs w:val="16"/>
          <w:color w:val="auto"/>
        </w:rPr>
        <w:t>Portions of the Proxy Statement for the registrant’s Annual Meeting of Stockholders to be held on May 12, 2026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8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8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040" w:type="dxa"/>
            <w:vAlign w:val="bottom"/>
            <w:tcBorders>
              <w:bottom w:val="single" w:sz="8" w:color="CCEEFF"/>
            </w:tcBorders>
            <w:gridSpan w:val="7"/>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7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56"/>
        </w:trPr>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600" w:type="dxa"/>
            <w:vAlign w:val="bottom"/>
            <w:gridSpan w:val="24"/>
          </w:tcPr>
          <w:p>
            <w:pPr>
              <w:ind w:left="200"/>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7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w:t>
            </w: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600" w:type="dxa"/>
            <w:vAlign w:val="bottom"/>
            <w:gridSpan w:val="24"/>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7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shd w:val="clear" w:color="auto" w:fill="CCEEFF"/>
          </w:tcPr>
          <w:p>
            <w:pPr>
              <w:spacing w:after="0"/>
              <w:rPr>
                <w:sz w:val="16"/>
                <w:szCs w:val="16"/>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9600" w:type="dxa"/>
            <w:vAlign w:val="bottom"/>
            <w:gridSpan w:val="24"/>
          </w:tcPr>
          <w:p>
            <w:pPr>
              <w:ind w:left="200"/>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1C.</w:t>
            </w:r>
          </w:p>
        </w:tc>
        <w:tc>
          <w:tcPr>
            <w:tcW w:w="9600" w:type="dxa"/>
            <w:vAlign w:val="bottom"/>
            <w:gridSpan w:val="24"/>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7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shd w:val="clear" w:color="auto" w:fill="CCEEFF"/>
          </w:tcPr>
          <w:p>
            <w:pPr>
              <w:spacing w:after="0"/>
              <w:rPr>
                <w:sz w:val="16"/>
                <w:szCs w:val="16"/>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600" w:type="dxa"/>
            <w:vAlign w:val="bottom"/>
            <w:gridSpan w:val="24"/>
          </w:tcPr>
          <w:p>
            <w:pPr>
              <w:ind w:left="200"/>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7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6"/>
                <w:szCs w:val="16"/>
                <w:color w:val="auto"/>
              </w:rPr>
            </w:pPr>
          </w:p>
        </w:tc>
      </w:tr>
      <w:tr>
        <w:trPr>
          <w:trHeight w:val="21"/>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600" w:type="dxa"/>
            <w:vAlign w:val="bottom"/>
            <w:gridSpan w:val="24"/>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7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shd w:val="clear" w:color="auto" w:fill="CCEEFF"/>
          </w:tcPr>
          <w:p>
            <w:pPr>
              <w:spacing w:after="0"/>
              <w:rPr>
                <w:sz w:val="16"/>
                <w:szCs w:val="16"/>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600" w:type="dxa"/>
            <w:vAlign w:val="bottom"/>
            <w:gridSpan w:val="24"/>
          </w:tcPr>
          <w:p>
            <w:pPr>
              <w:ind w:left="20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6"/>
                <w:szCs w:val="16"/>
                <w:color w:val="auto"/>
              </w:rPr>
            </w:pPr>
          </w:p>
        </w:tc>
      </w:tr>
      <w:tr>
        <w:trPr>
          <w:trHeight w:val="21"/>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40" w:type="dxa"/>
            <w:vAlign w:val="bottom"/>
            <w:gridSpan w:val="7"/>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62"/>
        </w:trPr>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600" w:type="dxa"/>
            <w:vAlign w:val="bottom"/>
            <w:gridSpan w:val="24"/>
          </w:tcPr>
          <w:p>
            <w:pPr>
              <w:ind w:left="200"/>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6"/>
                <w:szCs w:val="16"/>
                <w:color w:val="auto"/>
              </w:rPr>
            </w:pPr>
          </w:p>
        </w:tc>
      </w:tr>
      <w:tr>
        <w:trPr>
          <w:trHeight w:val="21"/>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600" w:type="dxa"/>
            <w:vAlign w:val="bottom"/>
            <w:gridSpan w:val="24"/>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7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shd w:val="clear" w:color="auto" w:fill="CCEEFF"/>
          </w:tcPr>
          <w:p>
            <w:pPr>
              <w:spacing w:after="0"/>
              <w:rPr>
                <w:sz w:val="16"/>
                <w:szCs w:val="16"/>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9600" w:type="dxa"/>
            <w:vAlign w:val="bottom"/>
            <w:gridSpan w:val="24"/>
          </w:tcPr>
          <w:p>
            <w:pPr>
              <w:ind w:left="20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6"/>
                <w:szCs w:val="16"/>
                <w:color w:val="auto"/>
              </w:rPr>
            </w:pPr>
          </w:p>
        </w:tc>
      </w:tr>
      <w:tr>
        <w:trPr>
          <w:trHeight w:val="21"/>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9600" w:type="dxa"/>
            <w:vAlign w:val="bottom"/>
            <w:gridSpan w:val="24"/>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41</w:t>
            </w:r>
          </w:p>
        </w:tc>
        <w:tc>
          <w:tcPr>
            <w:tcW w:w="20" w:type="dxa"/>
            <w:vAlign w:val="bottom"/>
            <w:shd w:val="clear" w:color="auto" w:fill="CCEEFF"/>
          </w:tcPr>
          <w:p>
            <w:pPr>
              <w:spacing w:after="0"/>
              <w:rPr>
                <w:sz w:val="16"/>
                <w:szCs w:val="16"/>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9600" w:type="dxa"/>
            <w:vAlign w:val="bottom"/>
            <w:gridSpan w:val="24"/>
          </w:tcPr>
          <w:p>
            <w:pPr>
              <w:ind w:left="200"/>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6"/>
                <w:szCs w:val="16"/>
                <w:color w:val="auto"/>
              </w:rPr>
            </w:pPr>
          </w:p>
        </w:tc>
      </w:tr>
      <w:tr>
        <w:trPr>
          <w:trHeight w:val="21"/>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9600" w:type="dxa"/>
            <w:vAlign w:val="bottom"/>
            <w:gridSpan w:val="24"/>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82</w:t>
            </w:r>
          </w:p>
        </w:tc>
        <w:tc>
          <w:tcPr>
            <w:tcW w:w="20" w:type="dxa"/>
            <w:vAlign w:val="bottom"/>
            <w:shd w:val="clear" w:color="auto" w:fill="CCEEFF"/>
          </w:tcPr>
          <w:p>
            <w:pPr>
              <w:spacing w:after="0"/>
              <w:rPr>
                <w:sz w:val="16"/>
                <w:szCs w:val="16"/>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9600" w:type="dxa"/>
            <w:vAlign w:val="bottom"/>
            <w:gridSpan w:val="24"/>
          </w:tcPr>
          <w:p>
            <w:pPr>
              <w:ind w:left="20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7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9600" w:type="dxa"/>
            <w:vAlign w:val="bottom"/>
            <w:gridSpan w:val="24"/>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82</w:t>
            </w:r>
          </w:p>
        </w:tc>
        <w:tc>
          <w:tcPr>
            <w:tcW w:w="20" w:type="dxa"/>
            <w:vAlign w:val="bottom"/>
            <w:shd w:val="clear" w:color="auto" w:fill="CCEEFF"/>
          </w:tcPr>
          <w:p>
            <w:pPr>
              <w:spacing w:after="0"/>
              <w:rPr>
                <w:sz w:val="16"/>
                <w:szCs w:val="16"/>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9600" w:type="dxa"/>
            <w:vAlign w:val="bottom"/>
            <w:gridSpan w:val="24"/>
          </w:tcPr>
          <w:p>
            <w:pPr>
              <w:ind w:left="200"/>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300" w:type="dxa"/>
            <w:vAlign w:val="bottom"/>
            <w:gridSpan w:val="8"/>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62"/>
        </w:trPr>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9600" w:type="dxa"/>
            <w:vAlign w:val="bottom"/>
            <w:gridSpan w:val="24"/>
          </w:tcPr>
          <w:p>
            <w:pPr>
              <w:ind w:left="200"/>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16"/>
                <w:szCs w:val="16"/>
                <w:color w:val="auto"/>
              </w:rPr>
            </w:pPr>
          </w:p>
        </w:tc>
      </w:tr>
      <w:tr>
        <w:trPr>
          <w:trHeight w:val="21"/>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9600" w:type="dxa"/>
            <w:vAlign w:val="bottom"/>
            <w:gridSpan w:val="24"/>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7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83</w:t>
            </w:r>
          </w:p>
        </w:tc>
        <w:tc>
          <w:tcPr>
            <w:tcW w:w="20" w:type="dxa"/>
            <w:vAlign w:val="bottom"/>
            <w:shd w:val="clear" w:color="auto" w:fill="CCEEFF"/>
          </w:tcPr>
          <w:p>
            <w:pPr>
              <w:spacing w:after="0"/>
              <w:rPr>
                <w:sz w:val="16"/>
                <w:szCs w:val="16"/>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9600" w:type="dxa"/>
            <w:vAlign w:val="bottom"/>
            <w:gridSpan w:val="24"/>
          </w:tcPr>
          <w:p>
            <w:pPr>
              <w:ind w:left="200"/>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9600" w:type="dxa"/>
            <w:vAlign w:val="bottom"/>
            <w:gridSpan w:val="24"/>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83</w:t>
            </w:r>
          </w:p>
        </w:tc>
        <w:tc>
          <w:tcPr>
            <w:tcW w:w="20" w:type="dxa"/>
            <w:vAlign w:val="bottom"/>
            <w:shd w:val="clear" w:color="auto" w:fill="CCEEFF"/>
          </w:tcPr>
          <w:p>
            <w:pPr>
              <w:spacing w:after="0"/>
              <w:rPr>
                <w:sz w:val="16"/>
                <w:szCs w:val="16"/>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9600" w:type="dxa"/>
            <w:vAlign w:val="bottom"/>
            <w:gridSpan w:val="24"/>
          </w:tcPr>
          <w:p>
            <w:pPr>
              <w:ind w:left="200"/>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7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16"/>
                <w:szCs w:val="16"/>
                <w:color w:val="auto"/>
              </w:rPr>
            </w:pPr>
          </w:p>
        </w:tc>
      </w:tr>
      <w:tr>
        <w:trPr>
          <w:trHeight w:val="21"/>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300" w:type="dxa"/>
            <w:vAlign w:val="bottom"/>
            <w:gridSpan w:val="8"/>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62"/>
        </w:trPr>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9600" w:type="dxa"/>
            <w:vAlign w:val="bottom"/>
            <w:gridSpan w:val="24"/>
          </w:tcPr>
          <w:p>
            <w:pPr>
              <w:ind w:left="200"/>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84</w:t>
            </w:r>
          </w:p>
        </w:tc>
        <w:tc>
          <w:tcPr>
            <w:tcW w:w="20" w:type="dxa"/>
            <w:vAlign w:val="bottom"/>
          </w:tcPr>
          <w:p>
            <w:pPr>
              <w:spacing w:after="0"/>
              <w:rPr>
                <w:sz w:val="16"/>
                <w:szCs w:val="16"/>
                <w:color w:val="auto"/>
              </w:rPr>
            </w:pPr>
          </w:p>
        </w:tc>
      </w:tr>
      <w:tr>
        <w:trPr>
          <w:trHeight w:val="21"/>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9600" w:type="dxa"/>
            <w:vAlign w:val="bottom"/>
            <w:gridSpan w:val="24"/>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7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89</w:t>
            </w:r>
          </w:p>
        </w:tc>
        <w:tc>
          <w:tcPr>
            <w:tcW w:w="20" w:type="dxa"/>
            <w:vAlign w:val="bottom"/>
            <w:shd w:val="clear" w:color="auto" w:fill="CCEEFF"/>
          </w:tcPr>
          <w:p>
            <w:pPr>
              <w:spacing w:after="0"/>
              <w:rPr>
                <w:sz w:val="16"/>
                <w:szCs w:val="16"/>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88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50"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Westinghouse Air Brake Technologies Corporation, doing business as Wabtec Corporation, is a Delaware corporation with headquarters at 30 Isabella Street in Pittsburgh, Pennsylvania. Our telephone number is 412-825-1000, and our website is located at </w:t>
      </w:r>
      <w:r>
        <w:rPr>
          <w:rFonts w:ascii="Times New Roman" w:cs="Times New Roman" w:eastAsia="Times New Roman" w:hAnsi="Times New Roman"/>
          <w:sz w:val="18"/>
          <w:szCs w:val="18"/>
          <w:i w:val="1"/>
          <w:iCs w:val="1"/>
          <w:color w:val="auto"/>
        </w:rPr>
        <w:t>www.wabteccorp.com</w:t>
      </w:r>
      <w:r>
        <w:rPr>
          <w:rFonts w:ascii="Times New Roman" w:cs="Times New Roman" w:eastAsia="Times New Roman" w:hAnsi="Times New Roman"/>
          <w:sz w:val="18"/>
          <w:szCs w:val="18"/>
          <w:color w:val="auto"/>
        </w:rPr>
        <w:t>. Wabtec has approximately 31,000 employees, excluding contingent workers, and operations in over 50 countries. Except as the context otherwise requires, all references to “we”, “our”, “us”, the “Company” and “Wabtec” refer to Westinghouse Air Brake Technologies Corporation and its consolidated subsidiaries. George Westinghouse founded the original Westinghouse Air Brake Co. in 1869 when he invented the air brake. Westinghouse Air Brake Company (“WABCO”) was formed in 1990 when it acquired certain assets and operations from American Standard, Inc., now known as Trane (“Trane”). The Company went public on the New York Stock Exchange in 1995.</w:t>
      </w:r>
    </w:p>
    <w:p>
      <w:pPr>
        <w:spacing w:after="0" w:line="81"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Throughout the years, the Company has made a number of strategic acquisitions leading the Company to where it is today. These have primarily included:</w:t>
      </w:r>
    </w:p>
    <w:p>
      <w:pPr>
        <w:spacing w:after="0" w:line="54" w:lineRule="exact"/>
        <w:rPr>
          <w:sz w:val="20"/>
          <w:szCs w:val="20"/>
          <w:color w:val="auto"/>
        </w:rPr>
      </w:pPr>
    </w:p>
    <w:p>
      <w:pPr>
        <w:ind w:left="660" w:right="3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1999 merger with MotivePower Industries, Inc. whereby the Company adopted its current name of Westinghouse Air Brake Technologies Corporation, or Wabtec;</w:t>
      </w:r>
    </w:p>
    <w:p>
      <w:pPr>
        <w:spacing w:after="0" w:line="53" w:lineRule="exact"/>
        <w:rPr>
          <w:rFonts w:ascii="Times New Roman" w:cs="Times New Roman" w:eastAsia="Times New Roman" w:hAnsi="Times New Roman"/>
          <w:sz w:val="18"/>
          <w:szCs w:val="18"/>
          <w:color w:val="auto"/>
        </w:rPr>
      </w:pPr>
    </w:p>
    <w:p>
      <w:pPr>
        <w:jc w:val="both"/>
        <w:ind w:left="660" w:right="5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2017 acquisition of Faiveley Transport, S.A. (“Faiveley Transport”), a leading provider of value-added, integrated systems and services, primarily for the global transit rail market. Based in France, the Faiveley Transport business has roots to 1919 and made Wabtec a leader in manufacturing pantographs, automatic door mechanisms, air conditioning systems, railway braking systems and couplers; and,</w:t>
      </w:r>
    </w:p>
    <w:p>
      <w:pPr>
        <w:spacing w:after="0" w:line="6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2019 acquisition of GE Transportation, a business unit of General Electric Company. This brought a global technology leader and supplier of locomotives, equipment, services and digital solutions to the rail, mining, marine, stationary power and drilling industries into Wabtec.</w:t>
      </w:r>
    </w:p>
    <w:p>
      <w:pPr>
        <w:spacing w:after="0" w:line="54"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As a result of those strategic acquisitions, as well as other smaller acquisitions and organic growth, Wabtec is a global provider of value-added, technology-based locomotives, equipment, systems and services for the freight rail and passenger transit industries, and the mining, marine, and industrial markets and applications. Our highly engineered rail and transit products, which are intended to enhance safety, improve productivity and reduce maintenance costs for customers, can be found on most locomotives, freight cars, passenger transit cars and buses around the world. Wabtec intends to continue to pursue strategic acquisitions that position the company for accelerated, profitable growth and strengthen our businesses with enhanced product offerings that increase customer productivity, reliability, and safety.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Opportunity</w:t>
      </w:r>
    </w:p>
    <w:p>
      <w:pPr>
        <w:spacing w:after="0" w:line="108"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The Company primarily serves the global freight rail and passenger transit industries. As such, our operating results are largely dependent on the level of activity, financial condition and capital spending plans of freight railroads and passenger transit agencies around the world, and transportation equipment manufacturers who serve those markets. Many factors influence these industries, including general economic conditions; traffic volumes, as measured by freight carloads and passenger ridership; government spending on public transportation; and investment in new technologies. In general, trends such as urbanization and growth in developing markets, sustainability and environmental awareness, investment in technology solutions, an aging equipment fleet, and growth in global trade are expected to drive continued investment in freight rail and passenger transit.</w:t>
      </w:r>
    </w:p>
    <w:p>
      <w:pPr>
        <w:spacing w:after="0" w:line="79"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The Association of the European Rail Industry, UNIFE, advocates for and represents European train builders and rail suppliers. UNIFE publishes a biennial market study that provides an overview of the market in its current form and a forecast of its future development in different regions and market segments. The 2024 biennial edition of the study concluded that the global rail market grew 2.7% in the 2021 to 2023 period as the industry started recovering from the negative impacts of the COVID-19 pandemic and forecasts the industry to continue with a compound annual growth rate of 3% through 2027.</w:t>
      </w:r>
    </w:p>
    <w:p>
      <w:pPr>
        <w:spacing w:after="0" w:line="7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As growth continues, Wabtec expects to have additional opportunities to provide products and services in these markets. New technologies offered by Wabtec can provide solutions to improve safety, cost and reliability of rail, as well as support the modernization of the global rail fleets. Consistent with the UNIFE study, increased investment in infrastructure improvements, digitalization and automation is expected, all of which would improve efficiency in the global rail industry.</w:t>
      </w:r>
    </w:p>
    <w:p>
      <w:pPr>
        <w:spacing w:after="0" w:line="7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Acquisitions also play a role in the Company's growth, market access, and new technology advancements. The Company's focus has been on bolt-on and near-in adjacencies, evidenced by our acquisitions completed and announced in 2025, including Evident's Inspection Technologies division ("Inspection Technologies") and Frauscher Sensor Technology Group ("Frauscher").</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Business Segments and Products</w:t>
      </w:r>
    </w:p>
    <w:p>
      <w:pPr>
        <w:spacing w:after="0" w:line="121"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provide our products and services through two principal business segments, the Freight Segment and the Transit Segment, both of which have different market characteristics and business drivers. The Freight Segment primarily manufactures new and modernized locomotives; provides aftermarket parts and services to existing locomotives; provides components to new and existing freight cars; supplies rail control and infrastructure products including electronics, positive train control equipment, signal design and engineering services; provides a comprehensive suite of software-enabled solutions designed to improve customer safety, efficiency and productivity in the transportation and mining industries; overhauls locomotives; provides heat exchangers and cooling systems for rail and other industrial markets; provides nondestructive testing, remote visual inspection and analytical instruments solutions for mission critical assets; and delivers train detection, wayside object control solutions, and axle counting systems. Customers include large, publicly traded railroads, leasing companies, manufacturers of original equipment such as locomotives and freight cars, utilities, and companies in the mining, marine, and industrial markets. We are a global manufacturer of diesel-electric locomotives for freight railroads producing essential products and solutions that help railroads reduce operating costs, decrease fuel use, minimize downtime and comply with emissions standards. As a result of the large base of nearly 24,600 locomotives, Wabtec's Services product line of modernizing, rebuilding and overhauling, remanufacturing, maintaining, and exchanging locomotives and components in the aftermarkets provides a significant, recurring revenue stream. In 2025, the Freight Segment accounted for approximately 72% of Wabtec’s total net sales, with approximately 60% of its net sales in the U.S. and approximately 58% of the Freight Segment’s net sales in the aftermarket.</w:t>
      </w:r>
    </w:p>
    <w:p>
      <w:pPr>
        <w:spacing w:after="0" w:line="8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Transit Segment primarily manufactures and services components for new and existing passenger transit vehicles, typically regional trains, high speed trains, subway cars, light-rail vehicles and buses; and supplies rail control and infrastructure products including electronics, signal design and engineering services. Customers include public transit authorities and municipalities, leasing companies, manufacturers of passenger transit vehicles and buses, and companies in the electrical generation, distribution, and charging industries. In 2025, the Transit Segment accounted for approximately 28% of our total net sales, with approximately 17% of its net sales in the U.S. The Transit Segment maintains a large installed base of original equipment globally which allows for a significant recurring revenue stream in the aftermarket. Approximately 56% of the Transit Segment’s net sales are in the aftermarket.</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our primary products and services in both aftermarket and original equipment across both of our business segments: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Equipment:</w:t>
      </w:r>
    </w:p>
    <w:p>
      <w:pPr>
        <w:spacing w:after="0" w:line="27" w:lineRule="exact"/>
        <w:rPr>
          <w:sz w:val="20"/>
          <w:szCs w:val="20"/>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Diesel-electric and liquid natural gas powered locomotives for freight and transit</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Engines, electric motors and premium propulsion systems used in locomotives, mining, marine, stationary power and drilling applications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and mining products</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Digital Intelligence:</w:t>
      </w:r>
    </w:p>
    <w:p>
      <w:pPr>
        <w:spacing w:after="0" w:line="27" w:lineRule="exact"/>
        <w:rPr>
          <w:sz w:val="20"/>
          <w:szCs w:val="20"/>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Train Control ("PTC") equipment and electronically controlled pneumatic braking products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Railway electronics, including event recorders, monitoring equipment and end of train devices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Signal design and engineering services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 performance such as distributed locomotive power, train 'cruise control', and train remote control</w:t>
      </w:r>
    </w:p>
    <w:p>
      <w:pPr>
        <w:spacing w:after="0" w:line="9" w:lineRule="exact"/>
        <w:rPr>
          <w:rFonts w:ascii="Times New Roman" w:cs="Times New Roman" w:eastAsia="Times New Roman" w:hAnsi="Times New Roman"/>
          <w:sz w:val="18"/>
          <w:szCs w:val="18"/>
          <w:color w:val="auto"/>
        </w:rPr>
      </w:pPr>
    </w:p>
    <w:p>
      <w:pPr>
        <w:ind w:left="620" w:right="280" w:hanging="329"/>
        <w:spacing w:after="0" w:line="250"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 intelligence such as Industrial/mobile Internet of Things ("IoT") hardware &amp; software, edge-to-cloud, on and off-board analytics and rules, and asset performance management</w:t>
      </w: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 logistics such as rail and shipper transportation management and port visibility and optimization</w:t>
      </w:r>
    </w:p>
    <w:p>
      <w:pPr>
        <w:spacing w:after="0" w:line="9" w:lineRule="exact"/>
        <w:rPr>
          <w:rFonts w:ascii="Times New Roman" w:cs="Times New Roman" w:eastAsia="Times New Roman" w:hAnsi="Times New Roman"/>
          <w:sz w:val="18"/>
          <w:szCs w:val="18"/>
          <w:color w:val="auto"/>
        </w:rPr>
      </w:pPr>
    </w:p>
    <w:p>
      <w:pPr>
        <w:ind w:left="620" w:right="300" w:hanging="329"/>
        <w:spacing w:after="0" w:line="250"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optimization such as rail network scheduling, dispatch and optimization, intermodal, terminal management and optimization, and rail yard management and optimization</w:t>
      </w: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Nondestructive testing, remote visual inspection and analytical instruments solutions for mission critical assets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 detection, wayside object control solutions, and axle counting systems</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Components:</w:t>
      </w:r>
    </w:p>
    <w:p>
      <w:pPr>
        <w:spacing w:after="0" w:line="27" w:lineRule="exact"/>
        <w:rPr>
          <w:sz w:val="20"/>
          <w:szCs w:val="20"/>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car trucks and braking equipment and related components for freight applications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compressors, dryers and HVAC systems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Heat transfer components and systems for diesel and gas engine cooling, generator and transformer coolers and high temperature applications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engineered burners and combustion systems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Railgear, signaling and switch products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Turbochargers for industrial applications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way equipment and services</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6" w:right="399" w:bottom="1440" w:gutter="0" w:footer="0" w:header="0"/>
        </w:sectPr>
      </w:pPr>
    </w:p>
    <w:bookmarkStart w:id="4" w:name="page5"/>
    <w:bookmarkEnd w:id="4"/>
    <w:p>
      <w:pPr>
        <w:ind w:left="260"/>
        <w:spacing w:after="0"/>
        <w:rPr>
          <w:sz w:val="20"/>
          <w:szCs w:val="20"/>
          <w:color w:val="auto"/>
        </w:rPr>
      </w:pPr>
      <w:r>
        <w:rPr>
          <w:rFonts w:ascii="Times New Roman" w:cs="Times New Roman" w:eastAsia="Times New Roman" w:hAnsi="Times New Roman"/>
          <w:sz w:val="18"/>
          <w:szCs w:val="18"/>
          <w:color w:val="auto"/>
        </w:rPr>
        <w:t>Services:</w:t>
      </w:r>
    </w:p>
    <w:p>
      <w:pPr>
        <w:spacing w:after="0" w:line="27" w:lineRule="exact"/>
        <w:rPr>
          <w:sz w:val="20"/>
          <w:szCs w:val="20"/>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locomotive overhauls, modernizations and refurbishment</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Master service agreements for locomotive and car maintenance</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 locomotive and car overhaul</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 exchange of locomotive components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parts arrangements</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Transit:</w:t>
      </w:r>
    </w:p>
    <w:p>
      <w:pPr>
        <w:spacing w:after="0" w:line="27" w:lineRule="exact"/>
        <w:rPr>
          <w:sz w:val="20"/>
          <w:szCs w:val="20"/>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Railway and freight braking equipment and related components, including high-speed passenger transit vehicles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Friction products, including brake shoes, discs and pads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Heating, ventilation and air conditioning equipment</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doors and platform screen doors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Pantographs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Auxiliary power converter and battery charging</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Passenger information systems and closed-circuit television</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Signaling and railway electric relays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Doors, window assemblies, accessibility lifts, ramps and electric charging solutions for buses</w:t>
      </w:r>
    </w:p>
    <w:p>
      <w:pPr>
        <w:spacing w:after="0" w:line="220" w:lineRule="exact"/>
        <w:rPr>
          <w:sz w:val="20"/>
          <w:szCs w:val="20"/>
          <w:color w:val="auto"/>
        </w:rPr>
      </w:pPr>
    </w:p>
    <w:p>
      <w:pPr>
        <w:ind w:right="40" w:firstLine="486"/>
        <w:spacing w:after="0" w:line="237" w:lineRule="auto"/>
        <w:rPr>
          <w:sz w:val="20"/>
          <w:szCs w:val="20"/>
          <w:color w:val="auto"/>
        </w:rPr>
      </w:pPr>
      <w:r>
        <w:rPr>
          <w:rFonts w:ascii="Times New Roman" w:cs="Times New Roman" w:eastAsia="Times New Roman" w:hAnsi="Times New Roman"/>
          <w:sz w:val="18"/>
          <w:szCs w:val="18"/>
          <w:color w:val="auto"/>
        </w:rPr>
        <w:t>Wabtec is utilizing a flexible and growing portfolio of freight rail and passenger transit products and innovative technologies to support customers’ sustainability goals and targets. From pioneering advancements to current signaling systems and network efficiency solutions, we are striving to increase the rail capacity to move more freight by train. Wabtec is working to reduce existing locomotive fuel consumption through fuel-efficiency solutions and testing renewable diesel and biofuels. We are also conducting collaborative research and development efforts with the National Laboratories to support the use of hydrogen to lower emissions across the rail industry. In both 2025 and 2024, Canadian National Railway Company, Norfolk Southern and Union Pacific Railroad each recognized Wabtec’s leadership in energy efficiency, innovation, and environmental stewardship with partnership awards. This was Wabtec’s third year in a row receiving the Thoroughbred Sustainability Partner Award from Norfolk Southern. Wabtec is also implementing energy-reducing technologies for the passenger transit sector.</w:t>
      </w:r>
    </w:p>
    <w:p>
      <w:pPr>
        <w:spacing w:after="0" w:line="93"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recent years, we have also introduced a number of significant new products, including PTC equipment that encompasses onboard digital data and global positioning communication protocols. We are making additional investments in this technology which we believe will provide customers with opportunities to improve safety and efficiency, in part through data analytics solutions. During 2025, Wabtec also expanded the Digital Intelligence portfolio with the addition of nondestructive testing and remote visual inspection instruments, as well as axle counting systems.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For additional information on our business segments, see Note 19 of “Notes to Consolidated Financial Statements” included in Part II, Item 8 of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Through both organic growth and strategic acquisitions, Wabtec has developed the following competitive strengths:</w:t>
      </w:r>
    </w:p>
    <w:p>
      <w:pPr>
        <w:spacing w:after="0" w:line="113" w:lineRule="exact"/>
        <w:rPr>
          <w:sz w:val="20"/>
          <w:szCs w:val="20"/>
          <w:color w:val="auto"/>
        </w:rPr>
      </w:pPr>
    </w:p>
    <w:p>
      <w:pPr>
        <w:ind w:left="620" w:right="40" w:hanging="329"/>
        <w:spacing w:after="0" w:line="262" w:lineRule="auto"/>
        <w:tabs>
          <w:tab w:leader="none" w:pos="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Iconic legacy and strong reputation with a history of over 150 years of innovation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Wabtec has been transforming the rail landscape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innovations and technologies for over 150 years. We have a long history of advancing technologies to meet customer needs and have been recognized for the development and production of locomotives, equipment, including PTC equipment, and systems for the freight rail and passenger transit industries. We are also a service provider for freight rail and passenger transit vehicles.</w:t>
      </w:r>
    </w:p>
    <w:p>
      <w:pPr>
        <w:spacing w:after="0" w:line="68" w:lineRule="exact"/>
        <w:rPr>
          <w:rFonts w:ascii="Times New Roman" w:cs="Times New Roman" w:eastAsia="Times New Roman" w:hAnsi="Times New Roman"/>
          <w:sz w:val="18"/>
          <w:szCs w:val="18"/>
          <w:color w:val="auto"/>
        </w:rPr>
      </w:pPr>
    </w:p>
    <w:p>
      <w:pPr>
        <w:ind w:left="620" w:right="120" w:hanging="329"/>
        <w:spacing w:after="0" w:line="255" w:lineRule="auto"/>
        <w:tabs>
          <w:tab w:leader="none" w:pos="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Breadth of product offering with a stable mix of original equipment market ("OEM") and aftermarket business</w:t>
      </w:r>
      <w:r>
        <w:rPr>
          <w:rFonts w:ascii="Times New Roman" w:cs="Times New Roman" w:eastAsia="Times New Roman" w:hAnsi="Times New Roman"/>
          <w:sz w:val="18"/>
          <w:szCs w:val="18"/>
          <w:color w:val="auto"/>
        </w:rPr>
        <w:t>. Our comprehensive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portfolio and service offerings span the freight rail and passenger transit industries, as well as other transportation, mining, marine, and industrial markets and applications, which help Wabtec balance the cyclical nature of the global rail business. We provide our products in both the original equipment market and the aftermarket. Our substantial installed base of products with end-users, such as the railroads and the passenger transit authorities, is a significant competitive advantage for providing products and services to the aftermarket because these customers often look to purchase safety- and performance-related replacement parts and technology upgrades from the original equipment components supplier. Wabtec has an installed base of nearly 24,600 locomotives, as well as a diverse offering of Transit locomotives and cars both internationally and domestically. Our significant installed base enables opportunities in the aftermarket parts and services business.</w:t>
      </w:r>
    </w:p>
    <w:p>
      <w:pPr>
        <w:spacing w:after="0" w:line="76" w:lineRule="exact"/>
        <w:rPr>
          <w:rFonts w:ascii="Times New Roman" w:cs="Times New Roman" w:eastAsia="Times New Roman" w:hAnsi="Times New Roman"/>
          <w:sz w:val="18"/>
          <w:szCs w:val="18"/>
          <w:color w:val="auto"/>
        </w:rPr>
      </w:pPr>
    </w:p>
    <w:p>
      <w:pPr>
        <w:ind w:left="620" w:right="300" w:hanging="329"/>
        <w:spacing w:after="0" w:line="262" w:lineRule="auto"/>
        <w:tabs>
          <w:tab w:leader="none" w:pos="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Leading design and engineering capabilities. </w:t>
      </w:r>
      <w:r>
        <w:rPr>
          <w:rFonts w:ascii="Times New Roman" w:cs="Times New Roman" w:eastAsia="Times New Roman" w:hAnsi="Times New Roman"/>
          <w:sz w:val="18"/>
          <w:szCs w:val="18"/>
          <w:color w:val="auto"/>
        </w:rPr>
        <w:t>We believe a hallmark of our relationship with our customers has been our leading design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engineering practice, which has assisted in the improvement and modernization of global railway equipment. Wabtec's engineers and technical capabilities support continued focus on innovative product development and efforts to achieve scalable technologies. We believe both our customers and government authorities</w:t>
      </w: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5" w:name="page6"/>
    <w:bookmarkEnd w:id="5"/>
    <w:p>
      <w:pPr>
        <w:ind w:left="620" w:right="240"/>
        <w:spacing w:after="0" w:line="261" w:lineRule="auto"/>
        <w:rPr>
          <w:sz w:val="20"/>
          <w:szCs w:val="20"/>
          <w:color w:val="auto"/>
        </w:rPr>
      </w:pPr>
      <w:r>
        <w:rPr>
          <w:rFonts w:ascii="Times New Roman" w:cs="Times New Roman" w:eastAsia="Times New Roman" w:hAnsi="Times New Roman"/>
          <w:sz w:val="18"/>
          <w:szCs w:val="18"/>
          <w:color w:val="auto"/>
        </w:rPr>
        <w:t>value our technological capabilities and commitment to innovation, as we seek not only to enhance the efficiency and profitability of our customers, but also to improve the overall safety of the railways through continuous improvement of product performance. To that end, we have assembled a wide range of patented products, which we believe provides us with a competitive advantage that enhances our customers' safety, productivity, reliability and capacity.</w:t>
      </w:r>
    </w:p>
    <w:p>
      <w:pPr>
        <w:spacing w:after="0" w:line="68" w:lineRule="exact"/>
        <w:rPr>
          <w:sz w:val="20"/>
          <w:szCs w:val="20"/>
          <w:color w:val="auto"/>
        </w:rPr>
      </w:pPr>
    </w:p>
    <w:p>
      <w:pPr>
        <w:ind w:left="620" w:right="140" w:hanging="329"/>
        <w:spacing w:after="0" w:line="262" w:lineRule="auto"/>
        <w:tabs>
          <w:tab w:leader="none" w:pos="61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Driving fuel efficiency for the rail industry. </w:t>
      </w:r>
      <w:r>
        <w:rPr>
          <w:rFonts w:ascii="Times New Roman" w:cs="Times New Roman" w:eastAsia="Times New Roman" w:hAnsi="Times New Roman"/>
          <w:sz w:val="18"/>
          <w:szCs w:val="18"/>
          <w:color w:val="auto"/>
        </w:rPr>
        <w:t>We have taken significant steps to drive fuel efficiency in global transport and make our world safer,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smarter and more sustainable. Wabtec is advancing our sustainability priorities both through our own commitments to our people, communities, and planet, as well as by innovating next generation technologies that reduce emissions, energy consumption and waste, and increase fuel efficiency for our customers through advancements in our equipment and digital solutions.</w:t>
      </w:r>
    </w:p>
    <w:p>
      <w:pPr>
        <w:spacing w:after="0" w:line="68" w:lineRule="exact"/>
        <w:rPr>
          <w:rFonts w:ascii="Times New Roman" w:cs="Times New Roman" w:eastAsia="Times New Roman" w:hAnsi="Times New Roman"/>
          <w:sz w:val="18"/>
          <w:szCs w:val="18"/>
          <w:b w:val="1"/>
          <w:bCs w:val="1"/>
          <w:i w:val="1"/>
          <w:iCs w:val="1"/>
          <w:color w:val="auto"/>
        </w:rPr>
      </w:pPr>
    </w:p>
    <w:p>
      <w:pPr>
        <w:ind w:left="620" w:hanging="329"/>
        <w:spacing w:after="0" w:line="257" w:lineRule="auto"/>
        <w:tabs>
          <w:tab w:leader="none" w:pos="6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Driving the digital transformation of the rail industry. </w:t>
      </w:r>
      <w:r>
        <w:rPr>
          <w:rFonts w:ascii="Times New Roman" w:cs="Times New Roman" w:eastAsia="Times New Roman" w:hAnsi="Times New Roman"/>
          <w:sz w:val="18"/>
          <w:szCs w:val="18"/>
          <w:color w:val="auto"/>
        </w:rPr>
        <w:t>Our early investment in data analytics and software has allowed us to become a strategic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 for customers looking to derive new value from existing assets, digitally transform their operations and enhance their network optimization. Through these initiatives, our digital solutions have helped to transform many distribution channels in the transportation industry including mine to ports, from shipper to receiver, from port to intermodal terminals to main line locomotives and railcars and across train yards and operation centers. The breadth of our Digital Intelligence solutions gives customers confidence in our ability to address their current and future needs with the latest digital technologies.</w:t>
      </w:r>
    </w:p>
    <w:p>
      <w:pPr>
        <w:spacing w:after="0" w:line="74" w:lineRule="exact"/>
        <w:rPr>
          <w:rFonts w:ascii="Times New Roman" w:cs="Times New Roman" w:eastAsia="Times New Roman" w:hAnsi="Times New Roman"/>
          <w:sz w:val="18"/>
          <w:szCs w:val="18"/>
          <w:color w:val="auto"/>
        </w:rPr>
      </w:pPr>
    </w:p>
    <w:p>
      <w:pPr>
        <w:ind w:left="620" w:right="60" w:hanging="329"/>
        <w:spacing w:after="0" w:line="257" w:lineRule="auto"/>
        <w:tabs>
          <w:tab w:leader="none" w:pos="6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Strategic partnerships with longstanding customers and other key stakeholders. </w:t>
      </w:r>
      <w:r>
        <w:rPr>
          <w:rFonts w:ascii="Times New Roman" w:cs="Times New Roman" w:eastAsia="Times New Roman" w:hAnsi="Times New Roman"/>
          <w:sz w:val="18"/>
          <w:szCs w:val="18"/>
          <w:color w:val="auto"/>
        </w:rPr>
        <w:t>We listen to our key stakeholders and focus on areas where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Wabtec can enable the most meaningful impact for our customers, communities, and the world. Transformational change requires collaboration, so we are committed to accelerating progress by partnering with customers, government leaders, corporations, universities, and other key stakeholders. For example, we have partnered with a customer, as well as an artificial intelligence and robotics institution, to create technologies that will further decarbonize freight rail transport, improve freight safety, and generate greater rail network utilization. By working together with these partners and others, we are developing advanced solutions for the industry to realize the low-to-zero emission rail network of the future.</w:t>
      </w:r>
    </w:p>
    <w:p>
      <w:pPr>
        <w:spacing w:after="0" w:line="74" w:lineRule="exact"/>
        <w:rPr>
          <w:rFonts w:ascii="Times New Roman" w:cs="Times New Roman" w:eastAsia="Times New Roman" w:hAnsi="Times New Roman"/>
          <w:sz w:val="18"/>
          <w:szCs w:val="18"/>
          <w:color w:val="auto"/>
        </w:rPr>
      </w:pPr>
    </w:p>
    <w:p>
      <w:pPr>
        <w:ind w:left="620" w:right="100" w:hanging="329"/>
        <w:spacing w:after="0" w:line="262" w:lineRule="auto"/>
        <w:tabs>
          <w:tab w:leader="none" w:pos="6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 with industry regulatory requirements. </w:t>
      </w:r>
      <w:r>
        <w:rPr>
          <w:rFonts w:ascii="Times New Roman" w:cs="Times New Roman" w:eastAsia="Times New Roman" w:hAnsi="Times New Roman"/>
          <w:sz w:val="18"/>
          <w:szCs w:val="18"/>
          <w:color w:val="auto"/>
        </w:rPr>
        <w:t>The freight rail and passenger transit industries are governed by various government agencies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regulators in each country and region. These groups mandate rigorous manufacturer certification and new product testing and approval processes that we believe are difficult for new entrants to meet cost-effectively and efficiently without the scale and extensive experience we possess.</w:t>
      </w:r>
    </w:p>
    <w:p>
      <w:pPr>
        <w:spacing w:after="0" w:line="68" w:lineRule="exact"/>
        <w:rPr>
          <w:rFonts w:ascii="Times New Roman" w:cs="Times New Roman" w:eastAsia="Times New Roman" w:hAnsi="Times New Roman"/>
          <w:sz w:val="18"/>
          <w:szCs w:val="18"/>
          <w:color w:val="auto"/>
        </w:rPr>
      </w:pPr>
    </w:p>
    <w:p>
      <w:pPr>
        <w:ind w:left="620" w:right="40" w:hanging="329"/>
        <w:spacing w:after="0" w:line="256" w:lineRule="auto"/>
        <w:tabs>
          <w:tab w:leader="none" w:pos="6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Streamlined cost structure and operational excellence provide operating leverage and support Wabtec’s growth. </w:t>
      </w:r>
      <w:r>
        <w:rPr>
          <w:rFonts w:ascii="Times New Roman" w:cs="Times New Roman" w:eastAsia="Times New Roman" w:hAnsi="Times New Roman"/>
          <w:sz w:val="18"/>
          <w:szCs w:val="18"/>
          <w:color w:val="auto"/>
        </w:rPr>
        <w:t>We focus on driving continuous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 improvement across the organization by sharing best practices, instilling a culture of learning, problem solving and constant improvement, and driving standard operating practices. Wabtec is also focused on earnings growth through expanding high-margin recurring revenue streams. Additionally, Wabtec is a provider of technology-enabled locomotives and equipment, freight car components, systems, and services for the freight rail and passenger transit industries. The size of Wabtec's operations enables the Company to achieve economies of scale, in addition to using best-cost locations for executing on operational decisions. Completed strategic acquisitions and integrations have also led to operating synergies across Wabtec.</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We strive to generate sufficient cash to invest in our growth strategies while maintaining world-class product value, technology and customer responsiveness. We continuously strive to improve quality, delivery and productivity, and to reduce costs utilizing global sourcing and supply chain management. These practices enable us to streamline processes, improve product reliability and customer satisfaction, reduce product cycle times and respond more rapidly to market developments. We also rely on functional experts within the Company across various disciplines to train, coach and share best practices throughout the Company, while benchmarking against best-in-class competitors and peers. Over time, we intend to continue to increase operating margins, improve cash flow and strengthen our ability to invest in the following growth strategies:</w:t>
      </w:r>
    </w:p>
    <w:p>
      <w:pPr>
        <w:spacing w:after="0" w:line="197" w:lineRule="exact"/>
        <w:rPr>
          <w:sz w:val="20"/>
          <w:szCs w:val="20"/>
          <w:color w:val="auto"/>
        </w:rPr>
      </w:pPr>
    </w:p>
    <w:p>
      <w:pPr>
        <w:ind w:left="620" w:right="20" w:hanging="329"/>
        <w:spacing w:after="0" w:line="253" w:lineRule="auto"/>
        <w:tabs>
          <w:tab w:leader="none" w:pos="6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Accelerate innovation of scalable technologies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continue to emphasize innovation and development funding to create new products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capabilities to increase customer productivity, efficiency, capacity, utilization and safety, such as alternatively fueled locomotive, vehicle monitoring and data analytics, and nondestructive testing. We plan to invest in bringing new technologies to market for our customers, which may include portfolio expansion through strategic acquisitions. A significant portion of our investment is expected to be focused on three customer-centric areas of innovation: advanced supply chain visibility, automation and digitization and low-to- zero emissions operations. These investments will position our customers for success and make these technologies the standard going forward. We have a multi-year initiative to build on our existing expertise and technologies in the Digital Intelligence space. In addition, we invest in developing enhancements and new features to existing products, such as brake discs and heat exchangers. We are focusing on technological advances, especially in the areas of electronics and alternative fuels, including hydrogen technologies, braking products and other on-board equipment, as a means to deliver new product growth. We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 w:name="page7"/>
    <w:bookmarkEnd w:id="6"/>
    <w:p>
      <w:pPr>
        <w:ind w:left="620"/>
        <w:spacing w:after="0"/>
        <w:rPr>
          <w:sz w:val="20"/>
          <w:szCs w:val="20"/>
          <w:color w:val="auto"/>
        </w:rPr>
      </w:pPr>
      <w:r>
        <w:rPr>
          <w:rFonts w:ascii="Times New Roman" w:cs="Times New Roman" w:eastAsia="Times New Roman" w:hAnsi="Times New Roman"/>
          <w:sz w:val="18"/>
          <w:szCs w:val="18"/>
          <w:color w:val="auto"/>
        </w:rPr>
        <w:t>seek to provide customers with incremental technological advances that offer immediate benefits with cost-effective investments.</w:t>
      </w:r>
    </w:p>
    <w:p>
      <w:pPr>
        <w:spacing w:after="0" w:line="235" w:lineRule="exact"/>
        <w:rPr>
          <w:sz w:val="20"/>
          <w:szCs w:val="20"/>
          <w:color w:val="auto"/>
        </w:rPr>
      </w:pPr>
    </w:p>
    <w:p>
      <w:pPr>
        <w:ind w:left="620" w:right="120" w:hanging="329"/>
        <w:spacing w:after="0" w:line="253" w:lineRule="auto"/>
        <w:tabs>
          <w:tab w:leader="none" w:pos="615" w:val="left"/>
        </w:tabs>
        <w:numPr>
          <w:ilvl w:val="0"/>
          <w:numId w:val="1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Grow and refresh expansive installed base. </w:t>
      </w:r>
      <w:r>
        <w:rPr>
          <w:rFonts w:ascii="Times New Roman" w:cs="Times New Roman" w:eastAsia="Times New Roman" w:hAnsi="Times New Roman"/>
          <w:sz w:val="17"/>
          <w:szCs w:val="17"/>
          <w:color w:val="auto"/>
        </w:rPr>
        <w:t>We are a transportation and component manufacturer with a significant installed base with expansive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product and service capabilities. We have nearly 24,600 locomotives in service, the majority of which are equipped with Digital Intelligence technologies, like Positive Train Control. We intend to increase sales through direct sales of existing products to current and new customers, by developing specific new products for application in new geographic markets, by making strategic acquisitions and through joint ventures with railway suppliers which have a strong presence in their local markets. We believe that international markets represent a significant opportunity for future growth. In Transit, we are focused on mature markets such as Europe and emerging markets such as India. In Freight, in addition to North America, we are targeting markets that operate significant fleets of locomotives and freight cars, including Australia, Brazil, India, South Africa, Kazakhstan, and other select areas within Europe, Asia and South America. In addition, we have opportunities to increase the sale of certain products that we currently manufacture for the rail industry into other industrial markets, such as mining, off-highway and energy.</w:t>
      </w:r>
    </w:p>
    <w:p>
      <w:pPr>
        <w:spacing w:after="0" w:line="197" w:lineRule="exact"/>
        <w:rPr>
          <w:rFonts w:ascii="Times New Roman" w:cs="Times New Roman" w:eastAsia="Times New Roman" w:hAnsi="Times New Roman"/>
          <w:sz w:val="17"/>
          <w:szCs w:val="17"/>
          <w:b w:val="1"/>
          <w:bCs w:val="1"/>
          <w:i w:val="1"/>
          <w:iCs w:val="1"/>
          <w:color w:val="auto"/>
        </w:rPr>
      </w:pPr>
    </w:p>
    <w:p>
      <w:pPr>
        <w:ind w:left="620" w:right="20" w:hanging="329"/>
        <w:spacing w:after="0" w:line="246" w:lineRule="auto"/>
        <w:tabs>
          <w:tab w:leader="none" w:pos="61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Drive efficiencies through emerging technologies. </w:t>
      </w:r>
      <w:r>
        <w:rPr>
          <w:rFonts w:ascii="Times New Roman" w:cs="Times New Roman" w:eastAsia="Times New Roman" w:hAnsi="Times New Roman"/>
          <w:sz w:val="18"/>
          <w:szCs w:val="18"/>
          <w:color w:val="auto"/>
        </w:rPr>
        <w:t>Today, rail represents the cleanest, most energy efficient and safest mode of moving freight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people on land. As global demands for growth increase, current trends suggest that freight and passenger rail activity will more than double by 2050, leading to an increased demand for sustainable transportation of people and goods. These converging forces highlight the critical interplay between market dynamics, the need for increased fuel efficiency and Wabtec’s business strategy. Wabtec is helping customers transition to a more utilized, efficient, and low-carbon rail network. Alternative clean energy technologies are critical in the fight against climate change and reducing greenhouse gas emissions. We are helping our customers reduce their overall cost of operations through the development of low-emitting locomotives like our Tier 4 locomotives, Trip Optimizer, Green Air and Green Friction products, and the use of alternative fuels such as biodiesel, renewable diesel, and hydrogen.</w:t>
      </w:r>
    </w:p>
    <w:p>
      <w:pPr>
        <w:spacing w:after="0" w:line="206" w:lineRule="exact"/>
        <w:rPr>
          <w:rFonts w:ascii="Times New Roman" w:cs="Times New Roman" w:eastAsia="Times New Roman" w:hAnsi="Times New Roman"/>
          <w:sz w:val="18"/>
          <w:szCs w:val="18"/>
          <w:b w:val="1"/>
          <w:bCs w:val="1"/>
          <w:i w:val="1"/>
          <w:iCs w:val="1"/>
          <w:color w:val="auto"/>
        </w:rPr>
      </w:pPr>
    </w:p>
    <w:p>
      <w:pPr>
        <w:ind w:left="620" w:hanging="329"/>
        <w:spacing w:after="0" w:line="238" w:lineRule="auto"/>
        <w:tabs>
          <w:tab w:leader="none" w:pos="6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high-margin recurring revenue streams. </w:t>
      </w:r>
      <w:r>
        <w:rPr>
          <w:rFonts w:ascii="Times New Roman" w:cs="Times New Roman" w:eastAsia="Times New Roman" w:hAnsi="Times New Roman"/>
          <w:sz w:val="18"/>
          <w:szCs w:val="18"/>
          <w:color w:val="auto"/>
        </w:rPr>
        <w:t>Our expansive installed base allows us to generate strong recurring revenues with replacement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parts and components, digital solutions, overhauls and modernizations. Aftermarket sales are typically done at higher margins and are less cyclical than OEM sales because a certain level of aftermarket maintenance and service work must be performed, even during an industry slowdown. Sales of aftermarket parts and services represent approximately 60% of total net sales. As a long-time supplier of original equipment, we have an extensive installed base of equipment in operation and growing this installed base further will expand our recurring aftermarket sales. Wabtec provides aftermarket parts and services for its components, and we seek to expand this business with customers who currently perform the work in-house. In this way, we expect to benefit as transit authorities and railroads outsource certain maintenance and overhaul functions.</w:t>
      </w:r>
    </w:p>
    <w:p>
      <w:pPr>
        <w:spacing w:after="0" w:line="210" w:lineRule="exact"/>
        <w:rPr>
          <w:rFonts w:ascii="Times New Roman" w:cs="Times New Roman" w:eastAsia="Times New Roman" w:hAnsi="Times New Roman"/>
          <w:sz w:val="18"/>
          <w:szCs w:val="18"/>
          <w:color w:val="auto"/>
        </w:rPr>
      </w:pPr>
    </w:p>
    <w:p>
      <w:pPr>
        <w:ind w:left="620" w:right="80" w:hanging="329"/>
        <w:spacing w:after="0" w:line="259" w:lineRule="auto"/>
        <w:tabs>
          <w:tab w:leader="none" w:pos="6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Drive continuous operational improvement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are focused on continuous improvement to drive cost competitiveness, effectively deploy capital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accelerate Lean. Lean is a set of principles that emphasize customer focus, elimination of waste, high quality growth and relentless prioritization of work to improve safety, quality, delivery and cost. Lean is being embedded in our culture and is fundamental to how we execute our strategy. We are using Lean principles to help examine processes and continuously improve them by solving problems at their root cause. Our Lean transformation model focuses on driving process improvements and management systems to maximize the flow of value produced for the customer, remove waste, empower employees and optimize the enterprise. These principles are also rigorously applied to sustainability and safety.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Acquisitions</w:t>
      </w:r>
    </w:p>
    <w:p>
      <w:pPr>
        <w:spacing w:after="0" w:line="121"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See Note 3 of “Notes to Consolidated Financial Statements” included in Part II, Item 8 of this report for additional information about our recent acquisitions.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from customers and approximates the Company’s remaining performance obligations at the end of each period. The Company’s total backlog was approximately $27.4 billion at December 31, 2025. The Company’s contracts are subject to standard industry cancellation provisions, including cancellations on short notice or upon completion of designated stages. Generally, if a customer were to cancel a contract, we would have an enforceable right to payment for work completed up to the date of cancellation which would include a reasonable profit margin. Substantial scope-of-work adjustments are common. For these and other reasons, completion of the Company’s backlog may be delayed or canceled, and reported backlog should not be viewed as a guarantee of future revenue. The railroad industry, in general, has historically been subject to fluctuations due to overall economic conditions and the level of use of alternative modes of transportation.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ind w:left="500"/>
        <w:spacing w:after="0"/>
        <w:rPr>
          <w:sz w:val="20"/>
          <w:szCs w:val="20"/>
          <w:color w:val="auto"/>
        </w:rPr>
      </w:pPr>
      <w:r>
        <w:rPr>
          <w:rFonts w:ascii="Times New Roman" w:cs="Times New Roman" w:eastAsia="Times New Roman" w:hAnsi="Times New Roman"/>
          <w:sz w:val="18"/>
          <w:szCs w:val="18"/>
          <w:color w:val="auto"/>
        </w:rPr>
        <w:t>The roll forward of the Company's backlog of firm customer orders and the expected year of completion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40" w:type="dxa"/>
            <w:vAlign w:val="bottom"/>
          </w:tcPr>
          <w:p>
            <w:pPr>
              <w:spacing w:after="0"/>
              <w:rPr>
                <w:sz w:val="17"/>
                <w:szCs w:val="17"/>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Freight Segment</w:t>
            </w:r>
          </w:p>
        </w:tc>
        <w:tc>
          <w:tcPr>
            <w:tcW w:w="160" w:type="dxa"/>
            <w:vAlign w:val="bottom"/>
          </w:tcPr>
          <w:p>
            <w:pPr>
              <w:spacing w:after="0"/>
              <w:rPr>
                <w:sz w:val="17"/>
                <w:szCs w:val="17"/>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Transit Segment</w:t>
            </w:r>
          </w:p>
        </w:tc>
        <w:tc>
          <w:tcPr>
            <w:tcW w:w="200" w:type="dxa"/>
            <w:vAlign w:val="bottom"/>
          </w:tcPr>
          <w:p>
            <w:pPr>
              <w:spacing w:after="0"/>
              <w:rPr>
                <w:sz w:val="17"/>
                <w:szCs w:val="17"/>
                <w:color w:val="auto"/>
              </w:rPr>
            </w:pP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22,272</w:t>
            </w:r>
          </w:p>
        </w:tc>
      </w:tr>
      <w:tr>
        <w:trPr>
          <w:trHeight w:val="229"/>
        </w:trPr>
        <w:tc>
          <w:tcPr>
            <w:tcW w:w="20" w:type="dxa"/>
            <w:vAlign w:val="bottom"/>
          </w:tcPr>
          <w:p>
            <w:pPr>
              <w:spacing w:after="0"/>
              <w:rPr>
                <w:sz w:val="19"/>
                <w:szCs w:val="19"/>
                <w:color w:val="auto"/>
              </w:rPr>
            </w:pPr>
          </w:p>
        </w:tc>
        <w:tc>
          <w:tcPr>
            <w:tcW w:w="6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Less: 2025 Net sales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(11,167)</w:t>
            </w:r>
          </w:p>
        </w:tc>
      </w:tr>
      <w:tr>
        <w:trPr>
          <w:trHeight w:val="230"/>
        </w:trPr>
        <w:tc>
          <w:tcPr>
            <w:tcW w:w="2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New orders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15,498</w:t>
            </w:r>
          </w:p>
        </w:tc>
      </w:tr>
      <w:tr>
        <w:trPr>
          <w:trHeight w:val="229"/>
        </w:trPr>
        <w:tc>
          <w:tcPr>
            <w:tcW w:w="20" w:type="dxa"/>
            <w:vAlign w:val="bottom"/>
            <w:tcBorders>
              <w:bottom w:val="single" w:sz="8" w:color="CCEEFF"/>
            </w:tcBorders>
          </w:tcPr>
          <w:p>
            <w:pPr>
              <w:spacing w:after="0"/>
              <w:rPr>
                <w:sz w:val="19"/>
                <w:szCs w:val="19"/>
                <w:color w:val="auto"/>
              </w:rPr>
            </w:pPr>
          </w:p>
        </w:tc>
        <w:tc>
          <w:tcPr>
            <w:tcW w:w="61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Adjustments / foreign exchange, net</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Expected Delivery</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w:t>
            </w:r>
          </w:p>
        </w:tc>
      </w:tr>
      <w:tr>
        <w:trPr>
          <w:trHeight w:val="229"/>
        </w:trPr>
        <w:tc>
          <w:tcPr>
            <w:tcW w:w="2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19,181</w:t>
            </w:r>
          </w:p>
        </w:tc>
      </w:tr>
    </w:tbl>
    <w:p>
      <w:pPr>
        <w:spacing w:after="0" w:line="238" w:lineRule="exact"/>
        <w:rPr>
          <w:sz w:val="20"/>
          <w:szCs w:val="20"/>
          <w:color w:val="auto"/>
        </w:rPr>
      </w:pPr>
    </w:p>
    <w:p>
      <w:pPr>
        <w:jc w:val="both"/>
        <w:ind w:right="20" w:firstLine="486"/>
        <w:spacing w:after="0" w:line="312" w:lineRule="auto"/>
        <w:rPr>
          <w:sz w:val="20"/>
          <w:szCs w:val="20"/>
          <w:color w:val="auto"/>
        </w:rPr>
      </w:pPr>
      <w:r>
        <w:rPr>
          <w:rFonts w:ascii="Times New Roman" w:cs="Times New Roman" w:eastAsia="Times New Roman" w:hAnsi="Times New Roman"/>
          <w:sz w:val="17"/>
          <w:szCs w:val="17"/>
          <w:color w:val="auto"/>
        </w:rPr>
        <w:t>Global economic conditions have not resulted in any material cancellations recently, but they have impacted the timing of some orders in backlog as, in certain cases, the delivery of goods and services were pushed out from their original timelines and could result in future modifications or cancellations.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Engineering and Development</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To execute our strategy to develop new products, we invest in a variety of engineering and development activities. For the years ended December 31, 2025, 2024 and 2023, we invested $223 million, $206 million and $218 million, respectively, in engineering for product development and improvement activities. Significant incremental engineering expense can be incurred with the execution of original equipment customer contracts. Across the Company, we have established multiple Centers of Competence, which have specialized, technical expertise in various disciplines and product areas.</w:t>
      </w:r>
    </w:p>
    <w:p>
      <w:pPr>
        <w:spacing w:after="0" w:line="72"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Our engineering and development program includes investments in data analytics, train control and other new technologies, such as liquid natural gas and hydrogen-powered locomotives, with an emphasis on developing products that enhance safety, productivity and efficiency for our customers. For example, we have developed advanced cooling systems that enable lower emissions from diesel engines used in rail and other industrial markets. We periodically conduct specific research projects in conjunction with universities, customers and other industry suppliers.</w:t>
      </w:r>
    </w:p>
    <w:p>
      <w:pPr>
        <w:spacing w:after="0" w:line="72"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We use our product development system to develop and monitor new product programs. The system requires the product development team to follow consistent steps throughout the development process, from concept to launch, to ensure the product will meet customer expectations and internal profitability targets.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have more than 7,000 active patents worldwide and file for approximately 300 new patents each year. We actively review our patent procurement processes and make adjustments as appropriate to the business environment. We also rely on a combination of trade secrets and other intellectual property laws, nondisclosure agreements and other protective measures to establish and protect our proprietary rights in our intellectual property. We actively monitor competitor patent issuance during our product development to reduce litigation risks, and we follow their product development practices to monitor possible patent infringement by them, and to evaluate their strategies and plans.</w:t>
      </w:r>
    </w:p>
    <w:p>
      <w:pPr>
        <w:spacing w:after="0" w:line="75"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Trademarks we utilize can be licensed from other companies, acquired as part of mergers or acquisitions, or have been developed through the normal course of business. We have entered into a variety of license agreements as licensor and licensee. We do not believe that any single license agreement is of material importance to our business or any of our business segments as a whole.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serve a global customer base with products and services purchased across international markets. Our customers include passenger transit authorities and railroads throughout North America, Europe, Asia Pacific, Africa, and South America; utilities; manufacturers of transportation equipment, such as locomotives, freight cars, passenger transit vehicles and buses; companies that own, lease, and maintain such equipment; as well as customers in the mining, marine, and industrial markets and applications and companies in the generation, distribution, and charging industries.</w:t>
      </w:r>
    </w:p>
    <w:p>
      <w:pPr>
        <w:spacing w:after="0" w:line="72" w:lineRule="exact"/>
        <w:rPr>
          <w:sz w:val="20"/>
          <w:szCs w:val="20"/>
          <w:color w:val="auto"/>
        </w:rPr>
      </w:pPr>
    </w:p>
    <w:p>
      <w:pPr>
        <w:jc w:val="both"/>
        <w:ind w:right="40" w:firstLine="486"/>
        <w:spacing w:after="0" w:line="312" w:lineRule="auto"/>
        <w:rPr>
          <w:sz w:val="20"/>
          <w:szCs w:val="20"/>
          <w:color w:val="auto"/>
        </w:rPr>
      </w:pPr>
      <w:r>
        <w:rPr>
          <w:rFonts w:ascii="Times New Roman" w:cs="Times New Roman" w:eastAsia="Times New Roman" w:hAnsi="Times New Roman"/>
          <w:sz w:val="17"/>
          <w:szCs w:val="17"/>
          <w:color w:val="auto"/>
        </w:rPr>
        <w:t>Top customers can change from year to year. For the fiscal year ended December 31, 2025, our top five customers accounted for approximately 30% of net sales. No one customer represents 10% or more of consolidated net sales. We believe that we have strong relationships with all of our key customers.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We operate in a highly competitive marketplace. In addition to price, competition is based on product performance and technological leadership, quality, reliability of delivery, and customer service and support.</w:t>
      </w:r>
    </w:p>
    <w:p>
      <w:pPr>
        <w:spacing w:after="0" w:line="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principal competitors vary across product lines and geographies. Within North America, New York Air Brake Company, a subsidiary of the German air brake producer Knorr-Bremse AG (“Knorr”) and Amsted Rail Company, Inc., a subsidiary of Amsted Industries Corporation, are our principal overall OEM competitors. Our primary competition for locomotives is Progress Rail, owned by a subsidiary of Caterpillar. Our primary competition for freight and passenger transit service and repair is mostly from the railroads’ and passenger transit authorities’ in-house operations and Knorr. We believe our key strengths, strategic partnerships and operational excellence, coupled with an experienced management team, enable us to compete effectively in this marketplace. Outside of North America, Knorr is our main competitor, although not in every product line or geography. In addition, our competitors often include smaller, local suppliers in most international markets. Depending on the product line and geography, we can also compete with our customers, such as CRRC Corporation Limited, a China-based manufacturer of rolling stock.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Wabtec is committed to creating sustainable value through innovative rail technologies and responsible business practices. Our mission to unlock our customers' potential by delivering innovative and lasting transportation solutions underpins our sustainability strategy. Our strategy helps us capitalize on market opportunities and reduce safety and environmental risks, while creating value for our customers, employees and other stakeholders. Wabtec focuses on three Sustainability Principles to execute our sustainability strategy:</w:t>
      </w:r>
    </w:p>
    <w:p>
      <w:pPr>
        <w:spacing w:after="0" w:line="70" w:lineRule="exact"/>
        <w:rPr>
          <w:sz w:val="20"/>
          <w:szCs w:val="20"/>
          <w:color w:val="auto"/>
        </w:rPr>
      </w:pPr>
    </w:p>
    <w:p>
      <w:pPr>
        <w:ind w:left="620" w:hanging="329"/>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Innovating with Purpose. </w:t>
      </w:r>
      <w:r>
        <w:rPr>
          <w:rFonts w:ascii="Times New Roman" w:cs="Times New Roman" w:eastAsia="Times New Roman" w:hAnsi="Times New Roman"/>
          <w:sz w:val="18"/>
          <w:szCs w:val="18"/>
          <w:color w:val="auto"/>
        </w:rPr>
        <w:t>We are committed to developing responsible and sustainable products.</w:t>
      </w:r>
    </w:p>
    <w:p>
      <w:pPr>
        <w:spacing w:after="0" w:line="117" w:lineRule="exact"/>
        <w:rPr>
          <w:rFonts w:ascii="Times New Roman" w:cs="Times New Roman" w:eastAsia="Times New Roman" w:hAnsi="Times New Roman"/>
          <w:sz w:val="18"/>
          <w:szCs w:val="18"/>
          <w:color w:val="auto"/>
        </w:rPr>
      </w:pPr>
    </w:p>
    <w:p>
      <w:pPr>
        <w:ind w:left="620" w:right="160" w:hanging="329"/>
        <w:spacing w:after="0" w:line="284" w:lineRule="auto"/>
        <w:tabs>
          <w:tab w:leader="none" w:pos="6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Driving Responsible Operations. </w:t>
      </w:r>
      <w:r>
        <w:rPr>
          <w:rFonts w:ascii="Times New Roman" w:cs="Times New Roman" w:eastAsia="Times New Roman" w:hAnsi="Times New Roman"/>
          <w:sz w:val="18"/>
          <w:szCs w:val="18"/>
          <w:color w:val="auto"/>
        </w:rPr>
        <w:t>We are committed to providing safe work environments and products that enable productive and efficient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w:t>
      </w:r>
    </w:p>
    <w:p>
      <w:pPr>
        <w:spacing w:after="0" w:line="50" w:lineRule="exact"/>
        <w:rPr>
          <w:rFonts w:ascii="Times New Roman" w:cs="Times New Roman" w:eastAsia="Times New Roman" w:hAnsi="Times New Roman"/>
          <w:sz w:val="18"/>
          <w:szCs w:val="18"/>
          <w:color w:val="auto"/>
        </w:rPr>
      </w:pPr>
    </w:p>
    <w:p>
      <w:pPr>
        <w:ind w:left="620" w:right="220" w:hanging="329"/>
        <w:spacing w:after="0" w:line="284" w:lineRule="auto"/>
        <w:tabs>
          <w:tab w:leader="none" w:pos="6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Empowering People and Communities. </w:t>
      </w:r>
      <w:r>
        <w:rPr>
          <w:rFonts w:ascii="Times New Roman" w:cs="Times New Roman" w:eastAsia="Times New Roman" w:hAnsi="Times New Roman"/>
          <w:sz w:val="18"/>
          <w:szCs w:val="18"/>
          <w:color w:val="auto"/>
        </w:rPr>
        <w:t>We are committed to driving an inclusive culture grounded in integrity, committed to the development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investment in the communities where our teams live and work.</w:t>
      </w:r>
    </w:p>
    <w:p>
      <w:pPr>
        <w:spacing w:after="0" w:line="52" w:lineRule="exact"/>
        <w:rPr>
          <w:sz w:val="20"/>
          <w:szCs w:val="20"/>
          <w:color w:val="auto"/>
        </w:rPr>
      </w:pPr>
    </w:p>
    <w:p>
      <w:pPr>
        <w:ind w:right="760" w:firstLine="486"/>
        <w:spacing w:after="0" w:line="282" w:lineRule="auto"/>
        <w:rPr>
          <w:sz w:val="20"/>
          <w:szCs w:val="20"/>
          <w:color w:val="auto"/>
        </w:rPr>
      </w:pPr>
      <w:r>
        <w:rPr>
          <w:rFonts w:ascii="Times New Roman" w:cs="Times New Roman" w:eastAsia="Times New Roman" w:hAnsi="Times New Roman"/>
          <w:sz w:val="18"/>
          <w:szCs w:val="18"/>
          <w:color w:val="auto"/>
        </w:rPr>
        <w:t>To align Wabtec's overall sustainability strategy and action plans with the current market conditions and trends, we periodically review our sustainability priorities to ensure they reflect the areas of highest importance to our key internal and external stakeholders.</w:t>
      </w:r>
    </w:p>
    <w:p>
      <w:pPr>
        <w:spacing w:after="0" w:line="54"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Wabtec is committed to transparency on Environmental, Social, and Governance ("ESG") topics, including the opportunities and challenges we encounter as we work to enhance performance and conduct business in a responsible manner. We publish periodic sustainability and sustainability-related reports, where we present sustainability information, including policies, goals, activities, and qualitative and quantitative data on our progress.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remain committed to a strong pay-for performance philosophy that aligns individual performance, behaviors and business results with individual rewards. To deliver on that commitment, we utilize market data to benchmark to the external market and consider factors such as an employee’s role and experience, the location of the job and performance when determining compensation.</w:t>
      </w:r>
    </w:p>
    <w:p>
      <w:pPr>
        <w:spacing w:after="0" w:line="68"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We provide our employees with resources to help them be mentally, physically and financially well. We offer a wide range of benefits including healthcare and wellness (physical and mental) benefits, retirement benefits, paid time off, an employee assistance program, and several employee resource groups to build inclusive communities at Wabtec.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w:t>
      </w:r>
    </w:p>
    <w:p>
      <w:pPr>
        <w:spacing w:after="0" w:line="11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In 2023, after years of growth and integration, we took the next step on our journey to become One Wabtec by aligning the behaviors of our legacy companies and evolving our shared culture. We launched our new cultural blueprint through our Vision, Mission, and Values after hearing from over 2,200 diverse stakeholders around the globe, including our customers, team members, managers, senior leaders, and Board of Directors. Our vision: Revolutionize the way the world moves for future generations. Our mission: Unlock our customers’ potential by delivering innovative and lasting</w:t>
      </w:r>
    </w:p>
    <w:p>
      <w:pPr>
        <w:spacing w:after="0" w:line="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transportation solutions. At Wabtec, our purpose stems from four values that shape our core identity: People First, Expand the Possible, Embrace Diversity, and One Wabtec. These values are woven throughout our global operations, and they motivate us to build lasting connections.</w:t>
      </w:r>
    </w:p>
    <w:p>
      <w:pPr>
        <w:spacing w:after="0" w:line="73"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Wabtec is committed to ensuring our workplace respects and seeks the unique talents, experiences and viewpoints of all our employees. We strive to create an environment where employees can be themselves. Our Board of Directors also plays a critical role in creating an organization that prioritizes, supports and invests in these ideals.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9" w:name="page10"/>
    <w:bookmarkEnd w:id="9"/>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Our headquarters are in Pittsburgh, Pennsylvania and we have offices, facilities, and operations in over 50 countries around the globe. As of December 31, 2025, we have a global workforce of approximately 31,000 employees, excluding contingent workers.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Unionized Population</w:t>
      </w:r>
    </w:p>
    <w:p>
      <w:pPr>
        <w:spacing w:after="0" w:line="11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A portion of our workers are represented by labor unions. The United Electrical, Radio and Machine Workers of America ("UE"), Locals 506 and 618 collective bargaining agreement, covering approximately 1,400 locomotive manufacturing workers in Erie, Pennsylvania, expires April 30, 2027. The Company continuously monitors its labor activity.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 and Development</w:t>
      </w:r>
    </w:p>
    <w:p>
      <w:pPr>
        <w:spacing w:after="0" w:line="119"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We continually invest in our employees’ career growth and provide employees with a wide range of development opportunities, including face-to-face, virtual, social and self-directed learning, mentoring and coaching programs. Wabtec has invested in training courses through a partnership with a third-party vendor to provide an online learning platform available to all of our employees, both hourly and salary.</w:t>
      </w:r>
    </w:p>
    <w:p>
      <w:pPr>
        <w:spacing w:after="0" w:line="68"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Leadership, Expertise, Advancement and Development ("LEAD") program is the primary path for university graduates into Wabtec. LEAD is a two-year program that offers an immersive learning experience in the fields of engineering, operations, finance and IT along with extensive leadership training designed to build the next generation of leaders. On average, there are 100 participants in the LEAD program that rotate between business units or departments every six months to work on strategic projects and assignments, gain exposure to senior leadership and build their global professional network. We are focused on strengthening this program to support our global talent pipeline.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Health and Safety</w:t>
      </w:r>
    </w:p>
    <w:p>
      <w:pPr>
        <w:spacing w:after="0" w:line="11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Putting people first is how we do business at Wabtec. Our Environmental, Health and Safety ("EHS") program has a longstanding commitment to continuously improve and foster a culture that proactively reduces risks and hazards in our operations, protects the environment, ensures regulatory compliance, and encourages learning and development. To ensure operational accountability for EHS across all levels of Wabtec, we use standard metrics (both lagging and leading indicators) and structured management reviews to track and measure EHS performance across all our operational sites. Monthly EHS operating reviews with the Executive Vice President for Global Operations are used to review operational risks at the enterprise-level, develop strategic initiatives, and communicate key performance indicators to senior management. Each site is responsible for developing a risk reduction plan to drive site or project-level actions related to risk reduction, compliance assurance, employee engagement, and continuous EHS improvement. Through these efforts, our Operations and EHS teams are partnering to eliminate and reduce hazards and risks within Wabtec’s operations, which is fundamental to improved EHS performance. In 2025, we had zero fatalities and our total recordable injury rate decreased by over 15% compared with 2024. We remain steadfast in our commitment to protecting our people and driving toward EHS excellence.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the course of our operations, we are subject to various regulations and standards of government authorities and other standard-setting bodies in the U.S. and around the world. These entities typically govern equipment, safety and interoperability standards for freight rail rolling stock and passenger transit, oversee a wide variety of rules and regulations governing safety and design of equipment, and evaluate certification and qualification requirements for suppliers. New products are generally subject to rigorous and lengthy testing and approval processes. As a result of these regulations and requirements, we must usually obtain and maintain certifications in a variety of jurisdictions and countries. The governing bodies include the Federal Railroad Administration ("FRA") and the Association of American Railroads ("AAR") in the U.S., and the International Union of Railways (“UIC”) and the European Railway Agencies in Europe. In addition, the European Committees for Standardization continue to develop European standards which cover, for example, the Reliability, Availability, Maintainability and Safety of railways systems. To support interoperability of the European railway network, the European Union for Railway Agencies is responsible for defining and implementing Technical Standards of Interoperability, which covers areas such as infrastructure, energy, rolling stock, telematic applications, traffic operation and management subsystems, noise pollution and waste generation, protection against fire and smoke, and system safety.</w:t>
      </w:r>
    </w:p>
    <w:p>
      <w:pPr>
        <w:spacing w:after="0" w:line="84"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Most countries and regions in which Wabtec does business have similar regulatory and certification frameworks. For example, any product or system sold in China must be certified in accordance with national standards. In India, many products are subject to regulations generally aligned with AAR and UIC standards.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Seasonality</w:t>
      </w:r>
    </w:p>
    <w:p>
      <w:pPr>
        <w:spacing w:after="0" w:line="12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Our business has limited seasonality. Third and fourth quarter results may be affected by the timing of services performed under our locomotive maintenance contracts and vacation and scheduled plant shutdowns at several of our major customers. Fourth quarter results may be affected by the timing of spare parts and service orders placed by transit agencies worldwide. Quarterly results can also be affected by the timing of projects in backlog and by project delays.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The Company's operations and products are subject to a variety of environmental laws and regulations governing air emissions, discharges into water, the use, handling, storage, and disposal of hazardous substances and waste materials, as well as the remediation of contamination associated with releases of hazardous substances. The Company believes its operations and products currently comply in all material respects with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maintain a website at www.wabteccorp.com. Available free of charge on this site are: our annual reports on Form 10-K, quarterly reports on Form 10-Q, current reports on Form 8-K and amendments to such reports filed or furnished pursuant to Section 13(a) or 15(d) of the Securities Exchange Act of 1934, as well as the annual report to stockholders, our Green Finance Framework and related reports (https://ir.wabteccorp.com/investor-relations/green-finance-framework), our sustainability and sustainability-related reports (www.wabteccorp.com/sustainability/report-archive), and other information. The Internet sites and the information contained therein or connected thereto are not incorporated by reference into this Form 10-K. The following are also available free of charge on this site and are available in print to any shareholder who requests them: Our Corporate Governance Guidelines, the charters of our Audit, Compensation and Talent Management, Governance and Risk and Public Policy Committees, our Code of Conduct, which is applicable to all employees, our Code of Ethics for Senior Officers, which is applicable to our executive officers, and our Policies on Related Party Transactions and Conflict Minerals.</w:t>
      </w:r>
    </w:p>
    <w:p>
      <w:pPr>
        <w:spacing w:after="0" w:line="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on our executive officers as of February 13, 2026.</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Officers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Age</w:t>
            </w:r>
          </w:p>
        </w:tc>
        <w:tc>
          <w:tcPr>
            <w:tcW w:w="7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12"/>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Rafael Santana</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c>
          <w:tcPr>
            <w:tcW w:w="120" w:type="dxa"/>
            <w:vAlign w:val="bottom"/>
            <w:tcBorders>
              <w:top w:val="single" w:sz="8" w:color="CCEEFF"/>
            </w:tcBorders>
            <w:shd w:val="clear" w:color="auto" w:fill="CCEEFF"/>
          </w:tcPr>
          <w:p>
            <w:pPr>
              <w:spacing w:after="0"/>
              <w:rPr>
                <w:sz w:val="18"/>
                <w:szCs w:val="18"/>
                <w:color w:val="auto"/>
              </w:rPr>
            </w:pPr>
          </w:p>
        </w:tc>
        <w:tc>
          <w:tcPr>
            <w:tcW w:w="7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213"/>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David L. DeNinno</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70</w:t>
            </w:r>
          </w:p>
        </w:tc>
        <w:tc>
          <w:tcPr>
            <w:tcW w:w="1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General Counsel and Secretary</w:t>
            </w:r>
          </w:p>
        </w:tc>
      </w:tr>
      <w:tr>
        <w:trPr>
          <w:trHeight w:val="219"/>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John A. Olin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c>
          <w:tcPr>
            <w:tcW w:w="120" w:type="dxa"/>
            <w:vAlign w:val="bottom"/>
            <w:shd w:val="clear" w:color="auto" w:fill="CCEEFF"/>
          </w:tcPr>
          <w:p>
            <w:pPr>
              <w:spacing w:after="0"/>
              <w:rPr>
                <w:sz w:val="19"/>
                <w:szCs w:val="19"/>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r>
        <w:trPr>
          <w:trHeight w:val="213"/>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Nicole Theophilus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1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and Chief Administrative Officer</w:t>
            </w:r>
          </w:p>
        </w:tc>
      </w:tr>
      <w:tr>
        <w:trPr>
          <w:trHeight w:val="219"/>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Eric Gebhardt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120" w:type="dxa"/>
            <w:vAlign w:val="bottom"/>
            <w:shd w:val="clear" w:color="auto" w:fill="CCEEFF"/>
          </w:tcPr>
          <w:p>
            <w:pPr>
              <w:spacing w:after="0"/>
              <w:rPr>
                <w:sz w:val="19"/>
                <w:szCs w:val="19"/>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Executive Vice President and Chief Technology Officer</w:t>
            </w:r>
          </w:p>
        </w:tc>
      </w:tr>
      <w:tr>
        <w:trPr>
          <w:trHeight w:val="213"/>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Gina Trombley</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1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Sales &amp; Marketing &amp; Chief Commercial Officer - Americas</w:t>
            </w:r>
          </w:p>
        </w:tc>
      </w:tr>
      <w:tr>
        <w:trPr>
          <w:trHeight w:val="219"/>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Greg Sbrocco</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120" w:type="dxa"/>
            <w:vAlign w:val="bottom"/>
            <w:shd w:val="clear" w:color="auto" w:fill="CCEEFF"/>
          </w:tcPr>
          <w:p>
            <w:pPr>
              <w:spacing w:after="0"/>
              <w:rPr>
                <w:sz w:val="19"/>
                <w:szCs w:val="19"/>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Executive Vice President, Global Operations</w:t>
            </w:r>
          </w:p>
        </w:tc>
      </w:tr>
      <w:tr>
        <w:trPr>
          <w:trHeight w:val="213"/>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Michael E. Fetsko</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c>
          <w:tcPr>
            <w:tcW w:w="1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President, Freight and Industrial Components</w:t>
            </w:r>
          </w:p>
        </w:tc>
      </w:tr>
      <w:tr>
        <w:trPr>
          <w:trHeight w:val="219"/>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Sameer Gaur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c>
          <w:tcPr>
            <w:tcW w:w="120" w:type="dxa"/>
            <w:vAlign w:val="bottom"/>
            <w:shd w:val="clear" w:color="auto" w:fill="CCEEFF"/>
          </w:tcPr>
          <w:p>
            <w:pPr>
              <w:spacing w:after="0"/>
              <w:rPr>
                <w:sz w:val="19"/>
                <w:szCs w:val="19"/>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 Freight Services</w:t>
            </w:r>
          </w:p>
        </w:tc>
      </w:tr>
      <w:tr>
        <w:trPr>
          <w:trHeight w:val="213"/>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Rogerio Mendonca</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c>
          <w:tcPr>
            <w:tcW w:w="1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President, Freight Equipment</w:t>
            </w:r>
          </w:p>
        </w:tc>
      </w:tr>
      <w:tr>
        <w:trPr>
          <w:trHeight w:val="219"/>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Nalin Jain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c>
          <w:tcPr>
            <w:tcW w:w="120" w:type="dxa"/>
            <w:vAlign w:val="bottom"/>
            <w:shd w:val="clear" w:color="auto" w:fill="CCEEFF"/>
          </w:tcPr>
          <w:p>
            <w:pPr>
              <w:spacing w:after="0"/>
              <w:rPr>
                <w:sz w:val="19"/>
                <w:szCs w:val="19"/>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 Digital Intelligence</w:t>
            </w:r>
          </w:p>
        </w:tc>
      </w:tr>
      <w:tr>
        <w:trPr>
          <w:trHeight w:val="213"/>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Pascal Schweitzer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c>
          <w:tcPr>
            <w:tcW w:w="1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President, Transit</w:t>
            </w:r>
          </w:p>
        </w:tc>
      </w:tr>
      <w:tr>
        <w:trPr>
          <w:trHeight w:val="219"/>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John A. Mastalerz</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120" w:type="dxa"/>
            <w:vAlign w:val="bottom"/>
            <w:shd w:val="clear" w:color="auto" w:fill="CCEEFF"/>
          </w:tcPr>
          <w:p>
            <w:pPr>
              <w:spacing w:after="0"/>
              <w:rPr>
                <w:sz w:val="19"/>
                <w:szCs w:val="19"/>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Vice President of Finance and Chief Accounting Officer</w:t>
            </w:r>
          </w:p>
        </w:tc>
      </w:tr>
      <w:tr>
        <w:trPr>
          <w:trHeight w:val="21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Kyra Yates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1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Vice President, Investor Relations</w:t>
            </w:r>
          </w:p>
        </w:tc>
      </w:tr>
    </w:tbl>
    <w:p>
      <w:pPr>
        <w:spacing w:after="0" w:line="242" w:lineRule="exact"/>
        <w:rPr>
          <w:sz w:val="20"/>
          <w:szCs w:val="20"/>
          <w:color w:val="auto"/>
        </w:rPr>
      </w:pPr>
    </w:p>
    <w:p>
      <w:pPr>
        <w:ind w:right="16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Rafael Santana </w:t>
      </w:r>
      <w:r>
        <w:rPr>
          <w:rFonts w:ascii="Times New Roman" w:cs="Times New Roman" w:eastAsia="Times New Roman" w:hAnsi="Times New Roman"/>
          <w:sz w:val="18"/>
          <w:szCs w:val="18"/>
          <w:color w:val="auto"/>
        </w:rPr>
        <w:t>was named President and Chief Executive Officer of the Company effective July 1, 2019. Previously, he served as Executive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from February 2019 to July 2019. Mr. Santana was President and Chief Executive Officer of GE Transportation since November 2017. Mr. Santana has held several global leadership positions since joining GE in 2000, including roles in the Transportation, Power and Oil and Gas businesses. Prior to being named President and Chief Executive Officer of GE Transportation, Mr. Santana was President and Chief Executive Officer of GE in Latin America. He also served as President and Chief Executive Officer of GE Oil and Gas Turbomachinery Solutions and had roles as Chief Executive Officer for GE Gas Engines and Chief Executive Officer for GE Energy in Latin America.</w:t>
      </w:r>
    </w:p>
    <w:p>
      <w:pPr>
        <w:spacing w:after="0" w:line="74" w:lineRule="exact"/>
        <w:rPr>
          <w:sz w:val="20"/>
          <w:szCs w:val="20"/>
          <w:color w:val="auto"/>
        </w:rPr>
      </w:pPr>
    </w:p>
    <w:p>
      <w:pPr>
        <w:jc w:val="both"/>
        <w:ind w:right="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David L. DeNinno </w:t>
      </w:r>
      <w:r>
        <w:rPr>
          <w:rFonts w:ascii="Times New Roman" w:cs="Times New Roman" w:eastAsia="Times New Roman" w:hAnsi="Times New Roman"/>
          <w:sz w:val="18"/>
          <w:szCs w:val="18"/>
          <w:color w:val="auto"/>
        </w:rPr>
        <w:t>was named Executive Vice President, General Counsel and Secretary of the Company effective December 2016. Previously,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DeNinno served as Senior Vice President, General Counsel and Secretary since February 2012. Previously, Mr. DeNinno served as a partner at K&amp;L Gates LLP since May 2011 and prior to that with Reed Smith LLP.</w:t>
      </w:r>
    </w:p>
    <w:p>
      <w:pPr>
        <w:spacing w:after="0" w:line="65" w:lineRule="exact"/>
        <w:rPr>
          <w:sz w:val="20"/>
          <w:szCs w:val="20"/>
          <w:color w:val="auto"/>
        </w:rPr>
      </w:pPr>
    </w:p>
    <w:p>
      <w:pPr>
        <w:jc w:val="both"/>
        <w:ind w:right="4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John A. Olin </w:t>
      </w:r>
      <w:r>
        <w:rPr>
          <w:rFonts w:ascii="Times New Roman" w:cs="Times New Roman" w:eastAsia="Times New Roman" w:hAnsi="Times New Roman"/>
          <w:sz w:val="18"/>
          <w:szCs w:val="18"/>
          <w:color w:val="auto"/>
        </w:rPr>
        <w:t>was named Executive Vice President and Chief Financial Officer effective October 1, 2021. Prior to joining Wabtec, Mr. Olin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Senior Vice President and Chief Financial Officer of Harley-Davidson, where he was instrumental in driving strategic change amidst significant market disruption, including reshaping the company. Prior to Harley-Davidson, Mr. Olin served as Controller of Kraft Foods' Cheese Division, and had 12 years of financial leadership at Kraft,</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1" w:name="page12"/>
    <w:bookmarkEnd w:id="11"/>
    <w:p>
      <w:pPr>
        <w:ind w:right="300"/>
        <w:spacing w:after="0" w:line="282" w:lineRule="auto"/>
        <w:rPr>
          <w:sz w:val="20"/>
          <w:szCs w:val="20"/>
          <w:color w:val="auto"/>
        </w:rPr>
      </w:pPr>
      <w:r>
        <w:rPr>
          <w:rFonts w:ascii="Times New Roman" w:cs="Times New Roman" w:eastAsia="Times New Roman" w:hAnsi="Times New Roman"/>
          <w:sz w:val="18"/>
          <w:szCs w:val="18"/>
          <w:color w:val="auto"/>
        </w:rPr>
        <w:t>Oscar Mayer Foods, and Miller Brewing Company. Mr. Olin also held positions with financial services and specialized consulting firms including Ernst and Whinney (now Ernst and Young).</w:t>
      </w:r>
    </w:p>
    <w:p>
      <w:pPr>
        <w:spacing w:after="0" w:line="52"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Nicole Theophilus </w:t>
      </w:r>
      <w:r>
        <w:rPr>
          <w:rFonts w:ascii="Times New Roman" w:cs="Times New Roman" w:eastAsia="Times New Roman" w:hAnsi="Times New Roman"/>
          <w:sz w:val="18"/>
          <w:szCs w:val="18"/>
          <w:color w:val="auto"/>
        </w:rPr>
        <w:t>was named Executive Vice President &amp; Chief Administrative Officer in July 2024. Ms. Theophilus was originally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Wabtec's Executive Vice President &amp; Chief Human Resource Officer in October 2020. Before joining Wabtec, Ms. Theophilus served as Chief Human Resource Officer of West Corporation from March 2016 through February 2018. She also served as Executive Vice President and Chief Human Resource Officer, Vice President of Human Resources and Vice President and Chief Employment Counsel of ConAgra Corporation, where she was employed from 2006 through 2015. Prior to 2006, Ms. Theophilus was a partner with the law firm Husch Blackwell.</w:t>
      </w:r>
    </w:p>
    <w:p>
      <w:pPr>
        <w:spacing w:after="0" w:line="7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Eric Gebhardt </w:t>
      </w:r>
      <w:r>
        <w:rPr>
          <w:rFonts w:ascii="Times New Roman" w:cs="Times New Roman" w:eastAsia="Times New Roman" w:hAnsi="Times New Roman"/>
          <w:sz w:val="18"/>
          <w:szCs w:val="18"/>
          <w:color w:val="auto"/>
        </w:rPr>
        <w:t>was named Executive Vice President and Chief Technology Officer in October 2020. Prior to joining Wabtec, Mr. Gebhardt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 of KCK-US, a Delaware corporation, from May 2019 through September 2020. He also served in a variety of roles with General Electric including Chief Technology Officer of GE Power from August 2017 through January 2019, Chief Product Management Officer for GE Energy Connections from February 2017 through August 2017, Chief Platforms and Operations Officer for Current from January 2016 through January 2017, and Chief Technology Officer for GE Oil &amp; Gas from October 2012 through December 2015.</w:t>
      </w:r>
    </w:p>
    <w:p>
      <w:pPr>
        <w:spacing w:after="0" w:line="75"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Gina Trombley </w:t>
      </w:r>
      <w:r>
        <w:rPr>
          <w:rFonts w:ascii="Times New Roman" w:cs="Times New Roman" w:eastAsia="Times New Roman" w:hAnsi="Times New Roman"/>
          <w:sz w:val="18"/>
          <w:szCs w:val="18"/>
          <w:color w:val="auto"/>
        </w:rPr>
        <w:t>was named Executive Vice President, Sales &amp; Marketing &amp; Chief Commercial Officer - Americas, effective September 8,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joining Wabtec, Ms. Trombley served in various executive roles at Bombardier Transportation from 2017 to August 2020, most recently as Vice President of Services and previously as Vice President Sales for Bombardier Transport - Americas. Ms. Trombley also held progressive commercial and marketing leadership roles at Parsons and GE Transportation.</w:t>
      </w:r>
    </w:p>
    <w:p>
      <w:pPr>
        <w:spacing w:after="0" w:line="72" w:lineRule="exact"/>
        <w:rPr>
          <w:sz w:val="20"/>
          <w:szCs w:val="20"/>
          <w:color w:val="auto"/>
        </w:rPr>
      </w:pPr>
    </w:p>
    <w:p>
      <w:pPr>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Greg Sbrocco </w:t>
      </w:r>
      <w:r>
        <w:rPr>
          <w:rFonts w:ascii="Times New Roman" w:cs="Times New Roman" w:eastAsia="Times New Roman" w:hAnsi="Times New Roman"/>
          <w:sz w:val="18"/>
          <w:szCs w:val="18"/>
          <w:color w:val="auto"/>
        </w:rPr>
        <w:t>was named Executive Vice President, Global Operations in February 2019. Prior to this, Mr. Sbrocco was Global Supply Chain Leader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GE Transportation since September 2014. Mr. Sbrocco had been with GE since 1992 when he joined as an Environmental Engineer for the GE Energy business. During his tenure with GE, Mr. Sbrocco held several leadership roles in GE Energy, GE Oil and Gas, and GE Transportation.</w:t>
      </w:r>
    </w:p>
    <w:p>
      <w:pPr>
        <w:spacing w:after="0" w:line="65" w:lineRule="exact"/>
        <w:rPr>
          <w:sz w:val="20"/>
          <w:szCs w:val="20"/>
          <w:color w:val="auto"/>
        </w:rPr>
      </w:pPr>
    </w:p>
    <w:p>
      <w:pPr>
        <w:ind w:right="60" w:firstLine="48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Michael E. Fetsko </w:t>
      </w:r>
      <w:r>
        <w:rPr>
          <w:rFonts w:ascii="Times New Roman" w:cs="Times New Roman" w:eastAsia="Times New Roman" w:hAnsi="Times New Roman"/>
          <w:sz w:val="18"/>
          <w:szCs w:val="18"/>
          <w:color w:val="auto"/>
        </w:rPr>
        <w:t>was named President, Freight and Industrial Components effective January 2017. Previously, Mr. Fetsko served as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Group Executive from January 2014. He joined Wabtec in July of 2011 as Vice President, Freight Pneumatics. Prior to joining Wabtec, Mr. Fetsko served in various executive management roles with Bombardier Transportation. Prior to Bombardier, Mr. Fetsko served in various management roles with two different environmental engineering firms.</w:t>
      </w:r>
    </w:p>
    <w:p>
      <w:pPr>
        <w:spacing w:after="0" w:line="3" w:lineRule="exact"/>
        <w:rPr>
          <w:sz w:val="20"/>
          <w:szCs w:val="20"/>
          <w:color w:val="auto"/>
        </w:rPr>
      </w:pPr>
    </w:p>
    <w:p>
      <w:pPr>
        <w:ind w:right="40" w:firstLine="486"/>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Sameer Gaur </w:t>
      </w:r>
      <w:r>
        <w:rPr>
          <w:rFonts w:ascii="Times New Roman" w:cs="Times New Roman" w:eastAsia="Times New Roman" w:hAnsi="Times New Roman"/>
          <w:sz w:val="18"/>
          <w:szCs w:val="18"/>
          <w:color w:val="auto"/>
        </w:rPr>
        <w:t>was named President, Freight Services effective January 2026. Previously, Mr. Gaur was the Group President of Transit Services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Wabtec since January 2001. Prior to that, he was Senior Vice President of Freight Services, Product Management from February 2019 to January 2021, and Senior Executive, GM Product Manager of Global Services at GE Transportation from January 2016 to February 2019. Prior to that he performed various executive roles at GE Capital from August 2012 to January 2016, and GE Rail Services from June 2003 through July 2012, and worked for Canadian National Railway from June 1997 to June 2003.</w:t>
      </w:r>
    </w:p>
    <w:p>
      <w:pPr>
        <w:spacing w:after="0" w:line="90" w:lineRule="exact"/>
        <w:rPr>
          <w:sz w:val="20"/>
          <w:szCs w:val="20"/>
          <w:color w:val="auto"/>
        </w:rPr>
      </w:pPr>
    </w:p>
    <w:p>
      <w:pPr>
        <w:ind w:right="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Rogerio Mendonca </w:t>
      </w:r>
      <w:r>
        <w:rPr>
          <w:rFonts w:ascii="Times New Roman" w:cs="Times New Roman" w:eastAsia="Times New Roman" w:hAnsi="Times New Roman"/>
          <w:sz w:val="18"/>
          <w:szCs w:val="18"/>
          <w:color w:val="auto"/>
        </w:rPr>
        <w:t>was named President, Freight Equipment in February 2021. Previously, Mr. Mendonca served as Vice President for Baker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Hughes from July 2017. Prior to that he served as President of GE Transportation in Latin America from April 2016 through July 2017 and in several roles leading up to that including Commercial Director and Service Operations General Manager.</w:t>
      </w:r>
    </w:p>
    <w:p>
      <w:pPr>
        <w:spacing w:after="0" w:line="65"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Nalin Jain </w:t>
      </w:r>
      <w:r>
        <w:rPr>
          <w:rFonts w:ascii="Times New Roman" w:cs="Times New Roman" w:eastAsia="Times New Roman" w:hAnsi="Times New Roman"/>
          <w:sz w:val="18"/>
          <w:szCs w:val="18"/>
          <w:color w:val="auto"/>
        </w:rPr>
        <w:t>was named President, Digital Intelligence business effective December 2020. Mr. Jain had served as President, Global Equipment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2019 and previously as President &amp; CEO, International Markets since August 2017 for GE Transportation. Prior to that, Mr. Jain had multiple leadership roles of increasing responsibility with GE Aviation and GE Transportation, since September 2005. Mr. Jain served as Director Global Partnerships with Bombardier Inc since July 2002 and prior to that he worked for Saint Gobain.</w:t>
      </w:r>
    </w:p>
    <w:p>
      <w:pPr>
        <w:spacing w:after="0" w:line="72" w:lineRule="exact"/>
        <w:rPr>
          <w:sz w:val="20"/>
          <w:szCs w:val="20"/>
          <w:color w:val="auto"/>
        </w:rPr>
      </w:pPr>
    </w:p>
    <w:p>
      <w:pPr>
        <w:jc w:val="both"/>
        <w:ind w:right="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Pascal Schweitzer </w:t>
      </w:r>
      <w:r>
        <w:rPr>
          <w:rFonts w:ascii="Times New Roman" w:cs="Times New Roman" w:eastAsia="Times New Roman" w:hAnsi="Times New Roman"/>
          <w:sz w:val="18"/>
          <w:szCs w:val="18"/>
          <w:color w:val="auto"/>
        </w:rPr>
        <w:t>was named President, Transit in April 2023. Previously, Mr. Schweitzer served as President, Freight Services from February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April 2023 and Vice President—Services of GE Transportation from April 2017 to February 2019. He also served as General Manager – Europe – Power Services for GE Power from November 2015 through April 2017 and prior to that several positions with Alstom Power.</w:t>
      </w:r>
    </w:p>
    <w:p>
      <w:pPr>
        <w:spacing w:after="0" w:line="65"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John A. Mastalerz </w:t>
      </w:r>
      <w:r>
        <w:rPr>
          <w:rFonts w:ascii="Times New Roman" w:cs="Times New Roman" w:eastAsia="Times New Roman" w:hAnsi="Times New Roman"/>
          <w:sz w:val="18"/>
          <w:szCs w:val="18"/>
          <w:color w:val="auto"/>
        </w:rPr>
        <w:t>was named Senior Vice President of Finance and Chief Accounting Officer in February 2020. Previously, Mr. Mastalerz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Vice President, Corporate Controller and Principal Accounting Officer from July 2017 to February 2020 and as Vice President and Corporate Controller from January 2014 to July 2017. Prior to joining Wabtec, Mr. Mastalerz served in various executive management roles with the H.J. Heinz Company from January 2001 to December 2013, most recently as Corporate Controller and Principal Accounting Officer. Prior to 2001, Mr. Mastalerz was a Senior Manager with PricewaterhouseCoopers LLP.</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 w:name="page13"/>
    <w:bookmarkEnd w:id="12"/>
    <w:p>
      <w:pPr>
        <w:jc w:val="both"/>
        <w:ind w:right="200" w:firstLine="486"/>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Kyra Yates </w:t>
      </w:r>
      <w:r>
        <w:rPr>
          <w:rFonts w:ascii="Times New Roman" w:cs="Times New Roman" w:eastAsia="Times New Roman" w:hAnsi="Times New Roman"/>
          <w:sz w:val="17"/>
          <w:szCs w:val="17"/>
          <w:color w:val="auto"/>
        </w:rPr>
        <w:t>was named Vice President of Investor Relations in March 2024. Previously, Ms. Yates served as the Vice President and Chief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 of Wabtec's Global Operations from March 2022 to March 2024, where she managed the financial performance of the Company's manufacturing, sourcing, and logistics operations. She also served as the Chief Financial Officer of Wabtec's Americas Services from March 2021 to March 2022. Ms. Yates had been with GE Transportation since 2008, and prior to that she held several positions with other GE businesses beginning in 2000.</w:t>
      </w:r>
    </w:p>
    <w:p>
      <w:pPr>
        <w:spacing w:after="0" w:line="230"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key customers.</w:t>
      </w:r>
    </w:p>
    <w:p>
      <w:pPr>
        <w:spacing w:after="0" w:line="12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rely on several key customers who represent a significant portion of our business. While we believe our relationships with our customers are generally good, our top customers could choose to reduce or terminate their relationships with Wabtec. In addition, many of our customers place orders for products on an as-needed basis and operate in cyclical industries. As a result, customer order levels have varied from period to period in the past and may vary significantly in the future. Such customer orders may be subject to delays and cancellations based on various market- and customer-specific conditions. Furthermore, the average service life of certain products in our end markets has increased in recent years due to innovations in technologies and manufacturing processes, which has also allowed end users to replace parts less often. As a result of our dependence on our key customers, we could experience a material adverse effect on our business, results of operations and financial condition if we lost any one or more of our key customers or if there is a reduction in their demand for our products.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operates in a highly competitive industry.</w:t>
      </w:r>
    </w:p>
    <w:p>
      <w:pPr>
        <w:spacing w:after="0" w:line="121"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We operate in a global, competitive marketplace and face substantial competition from a limited number of established competitors, some of which may have greater financial resources than we do, may have a more extensive low-cost sourcing strategy and presence in low-cost regions than we do, or may receive significant governmental support. Price competition is strong and, coupled with the existence of a number of cost-conscious customers with significant negotiating power, has historically limited our ability to increase prices. In addition to price, competition is based on product performance and technological leadership, quality, reliability of delivery, and customer service and support. If our competitors invest heavily in innovation and develop products that are more efficient or effective than our products, we may not be able to compete effectively. There can be no assurance that competition in one or more of our markets will not adversely affect us and our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to predict and react to customer demand could adversely affect our business.</w:t>
      </w:r>
    </w:p>
    <w:p>
      <w:pPr>
        <w:spacing w:after="0" w:line="12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If we are unable to accurately forecast demand for our existing products or to react appropriately to changes in demand, we may experience delayed product shipments and customer dissatisfaction. If demand increases significantly from current levels, both we and our suppliers may have difficulty meeting such demand, particularly if such demand increases occur rapidly. Alternatively, we may carry excess inventory if demand for our products decreases below projected levels.</w:t>
      </w:r>
    </w:p>
    <w:p>
      <w:pPr>
        <w:spacing w:after="0" w:line="7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Additionally, we have dedicated significant resources to the development, manufacturing and marketing of new products. Decisions to develop and market new transportation products are typically made without firm indications of customer acceptance. Moreover, by their nature, new products may require alteration of existing business methods or threaten to displace existing equipment in which our customers may have a substantial capital investment. There can be no assurance that any new products that we develop will gain widespread acceptance in the marketplace or that such products will be able to compete successfully with other new products or services that may be introduced by competitors. Furthermore, we may incur additional warranty or other costs as new products are tested and used by customers.</w:t>
      </w:r>
    </w:p>
    <w:p>
      <w:pPr>
        <w:spacing w:after="0" w:line="7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Failure to accurately predict and react to customer demand could have a material adverse effect on our business, results of operations and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respond adequately or in a timely manner to innovative changes in new technology.</w:t>
      </w:r>
    </w:p>
    <w:p>
      <w:pPr>
        <w:spacing w:after="0" w:line="12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In recent years, the global transportation landscape has been characterized by rapid changes in technology, leading to innovative developments in transportation and logistics that could change the way the railway industry does business. There may be additional innovations impacting the railway industry that we cannot yet foresee. The advancement of artificial intelligence technologies may significantly accelerate the pace and broaden the scope of technological innovation impacting the industry. Any failure by us to quickly adapt to and adopt new innovations in products and processes desired by our customers may result in a significant loss of demand for our product and service offerings. In addition, advances in technology may require us to increase investments in order to remain competitive, and our customers may not be willing to accept higher prices to cover the cost of these investments.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are subject to cyclical variations in the railway and passenger transit markets and changes in government spending.</w:t>
      </w:r>
    </w:p>
    <w:p>
      <w:pPr>
        <w:spacing w:after="0" w:line="121"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The railway industry historically has been subject to significant fluctuations due to overall economic conditions, the use of alternate methods of transportation and the levels of government spending on railway projects. In economic downturns, railroads have deferred, and may defer, certain expenditures in order to conserve cash in the short term. For example, the economic slowdown that was caused by the COVID-19 pandemic impacted the timing of some orders, as customers deferred the delivery of some goods and services to future years. Reductions in freight traffic may reduce demand for our replacement products.</w:t>
      </w:r>
    </w:p>
    <w:p>
      <w:pPr>
        <w:spacing w:after="0" w:line="7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passenger transit railroad industry is also cyclical and is influenced by a variety of factors. New passenger transit car orders vary from year to year and are influenced by a variety of factors, including major replacement programs, the construction or expansion of transit systems by transit authorities and the quality and cost of alternative modes of transportation. To the extent that future funding for proposed public projects is curtailed or withdrawn altogether as a result of changes in political, economic, fiscal, or other conditions beyond our control, such projects may be delayed or canceled, resulting in a potential loss of business for us, including transit aftermarket and new transit car orders. There can be no assurance that economic conditions will be favorable or that there will not be significant fluctuations adversely affecting the industry as a whole and Wabtec.</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backlog is not necessarily indicative of the level of our future revenues.</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backlog represents future production and estimated potential revenue attributable to firm contracts with, or written orders from, our customers for delivery in various periods. Instability in the global economy, negative conditions in the global credit markets, volatility in the industries that our products serve, changes in legislative policy, adverse changes in the financial condition of our customers, adverse changes in the availability of raw materials and supplies, or un-remedied contract breaches could possibly lead to contract termination or cancellations of orders in our backlog or request for deferred deliveries of our backlog orders, each of which could adversely affect our cash flows and results of operations. For example, although the economic slowdown caused by the COVID-19 pandemic did not result in any material cancellations of the Company's backlog, it did impact the timing of some orders in backlog as, in certain cases, the delivery of goods and services were pushed out from their original timelines.</w:t>
      </w:r>
    </w:p>
    <w:p>
      <w:pPr>
        <w:spacing w:after="0" w:line="77"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Equipment failures, interruptions, delays in deliveries or extensive damage to our facilities, supply chains, distribution systems or information technology systems, could adversely affect our business.</w:t>
      </w:r>
    </w:p>
    <w:p>
      <w:pPr>
        <w:spacing w:after="0" w:line="51"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All of our facilities, equipment, supply chains, distribution systems and information technology systems are subject to the risk of catastrophic loss due to unanticipated events, such as cyber-attacks, disease outbreak, fires, earthquakes, explosions, floods, tornadoes, hurricanes or weather conditions. An interruption in our manufacturing capabilities, supply chains, distribution systems or information technology systems, whether as a result of such catastrophic loss or any other reason, could reduce, prevent or delay our production and shipment of our product offerings, result in defective products or services, damage customer relationships and our reputation and result in legal exposure and large repair or replacement expenses. This could result in the delay or termination of orders, the loss of future sales and a negative impact to our reputation with our customers.</w:t>
      </w:r>
    </w:p>
    <w:p>
      <w:pPr>
        <w:spacing w:after="0" w:line="7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Third-party insurance coverage that we maintain with respect to such matters will vary from time to time in both type and amount depending on cost, availability and our decisions regarding risk retention, and may be unavailable or insufficient to protect us against losses. Any of these risks coming to fruition could materially adversely affect our business, results of operations and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 of our supply chain could have an adverse impact on our business, financial condition, and results of operations.</w:t>
      </w:r>
    </w:p>
    <w:p>
      <w:pPr>
        <w:spacing w:after="0" w:line="12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Our ability to make, move, and sell our products is critical to our success. Damage or disruption to our supply chain, including third-party manufacturing or transportation and distribution capabilities, could impair our ability to manufacture or sell our products. Failure to take adequate steps to mitigate the likelihood or potential impact of disruptions, or to effectively manage such events if they occur, particularly when a product is sourced from a single supplier or location, could adversely affect our business or financial results. For example, the COVID-19 pandemic caused supply chain disruptions, particularly with respect to channels in China, India, the U.S. and Europe, and labor availability constraints that resulted in component, raw material and chip shortages. Additionally, in an environment of heightened global geopolitical uncertainty, market factors, such as broad-based inflation, escalation of commodities costs, transportation and logistics costs, tariffs, labor costs, and volatility in foreign currency exchange rates may exacerbate the impacts of supply chain disruptions.</w:t>
      </w:r>
    </w:p>
    <w:p>
      <w:pPr>
        <w:spacing w:after="0" w:line="84"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There can be no assurance that supply chain disruptions will not occur from time to time, or that the steps we take to mitigate such disruptions will be effective or achieve their desired results in a timely fashion.</w:t>
      </w:r>
    </w:p>
    <w:p>
      <w:pPr>
        <w:spacing w:after="0" w:line="54"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In addition, disputes with significant suppliers, including disputes regarding pricing or performance, could adversely affect our ability to supply products to our customers and could materially and adversely affect our product sales, financial condition, and results of operations.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4" w:name="page15"/>
    <w:bookmarkEnd w:id="14"/>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pursue acquisitions, joint ventures and alliances that involve a number of inherent risks, any of which may cause us not to realize anticipated benefits.</w:t>
      </w:r>
    </w:p>
    <w:p>
      <w:pPr>
        <w:spacing w:after="0" w:line="51"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color w:val="auto"/>
        </w:rPr>
        <w:t>One aspect of our business strategy is to selectively pursue acquisitions, joint ventures and alliances that we believe will improve our market position and provide opportunities to realize operating synergies. These transactions involve inherent risks and uncertainties, any one of which could have a material adverse effect on our business, results of operations and financial condition including:</w:t>
      </w:r>
    </w:p>
    <w:p>
      <w:pPr>
        <w:spacing w:after="0" w:line="1" w:lineRule="exact"/>
        <w:rPr>
          <w:sz w:val="20"/>
          <w:szCs w:val="20"/>
          <w:color w:val="auto"/>
        </w:rPr>
      </w:pPr>
    </w:p>
    <w:p>
      <w:pPr>
        <w:ind w:left="620" w:hanging="329"/>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achieving identified financial and operating synergies, including the integration of operations, services and products;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unknown liabilities; and</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the market conditions, business and economic factors affecting such an acquisition, joint venture or alliance.</w:t>
      </w:r>
    </w:p>
    <w:p>
      <w:pPr>
        <w:spacing w:after="0" w:line="9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As a result of our acquisitions from time to time, we have goodwill recorded on our balance sheet. Goodwill is tested for impairment annually or more often if events or changes in circumstances indicate a potential impairment may exist. Factors that could indicate that our goodwill could be impaired include a decline in our stock price and market capitalization, lower than projected operating results and cash flows, and slower growth rates in our industry. If we determine at a future time that impairment exists, it may result in a significant non-cash charge to earnings and lower stockholders' equity.</w:t>
      </w:r>
    </w:p>
    <w:p>
      <w:pPr>
        <w:spacing w:after="0" w:line="7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In addition, we may fail to consummate future acquisitions, joint ventures or other business combinations for a variety of reasons, including the failure to satisfy closing conditions, potential regulatory interventions, or the possibility of competing bidders presenting a superior offer. If we are unable to identify or consummate suitable acquisitions or joint ventures, we may be unable to fully implement our business strategy, and our business and results of operations may be adversely affected as a result. In addition, our ability to engage in such strategic transactions will be dependent on our ability to raise substantial capital, and we may not be able to raise the funds necessary to implement this strategy on terms satisfactory to us, if at all.</w:t>
      </w:r>
    </w:p>
    <w:p>
      <w:pPr>
        <w:spacing w:after="0" w:line="75"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Further, we regularly implement organization changes and streamlining, such as divestitures and realignments, to support our growth and cost management strategies and to encourage efficiencies. If we are unable to successfully manage these and other organizational changes, the ability to complete such activities and realize anticipated benefits and cost savings as well as our results of operations and financial condition could be materially adversely affected.</w:t>
      </w:r>
    </w:p>
    <w:p>
      <w:pPr>
        <w:spacing w:after="0" w:line="6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integration of our recently completed acquisitions may not result in anticipated improvements in market position or the realization of anticipated operating synergies or may take longer to realize than expected.</w:t>
      </w:r>
    </w:p>
    <w:p>
      <w:pPr>
        <w:spacing w:after="0" w:line="5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Although we believe that our recent acquisitions will improve our market position and realize positive operating results, including operating synergies, operating expense reductions and overhead cost savings, we cannot be assured that these improvements will be obtained or guarantee the timing of such improvements. The management and acquisition of businesses involves substantial risks, any of which may result in a material adverse effect on our business and results of operations, including:</w:t>
      </w:r>
    </w:p>
    <w:p>
      <w:pPr>
        <w:spacing w:after="0" w:line="3" w:lineRule="exact"/>
        <w:rPr>
          <w:sz w:val="20"/>
          <w:szCs w:val="20"/>
          <w:color w:val="auto"/>
        </w:rPr>
      </w:pPr>
    </w:p>
    <w:p>
      <w:pPr>
        <w:ind w:left="480" w:hanging="310"/>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that an acquired business will achieve anticipated operating results;</w:t>
      </w:r>
    </w:p>
    <w:p>
      <w:pPr>
        <w:spacing w:after="0" w:line="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expenses to integrate;</w:t>
      </w:r>
    </w:p>
    <w:p>
      <w:pPr>
        <w:spacing w:after="0" w:line="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business operations to integration matters;</w:t>
      </w:r>
    </w:p>
    <w:p>
      <w:pPr>
        <w:spacing w:after="0" w:line="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transition services agreements;</w:t>
      </w:r>
    </w:p>
    <w:p>
      <w:pPr>
        <w:spacing w:after="0" w:line="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key personnel from the acquired business;</w:t>
      </w:r>
    </w:p>
    <w:p>
      <w:pPr>
        <w:spacing w:after="0" w:line="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entrepreneurial spirit and decision-making;</w:t>
      </w:r>
    </w:p>
    <w:p>
      <w:pPr>
        <w:spacing w:after="0" w:line="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different information systems;</w:t>
      </w:r>
    </w:p>
    <w:p>
      <w:pPr>
        <w:spacing w:after="0" w:line="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and exposure to unforeseen liabilities; and</w:t>
      </w:r>
    </w:p>
    <w:p>
      <w:pPr>
        <w:spacing w:after="0" w:line="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assets.</w:t>
      </w:r>
    </w:p>
    <w:p>
      <w:pPr>
        <w:spacing w:after="0" w:line="9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effects of potential future public health crises, epidemics, pandemics or similar events on our business, operating results and cash flows are uncertain.</w:t>
      </w:r>
    </w:p>
    <w:p>
      <w:pPr>
        <w:spacing w:after="0" w:line="5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face a wide variety of risks related to health epidemics, pandemics and similar outbreaks. As was evidenced by the COVID-19 pandemic, public health crises have the potential to dramatically impact the global health and economic environment and to trigger significant economic volatility and operational uncertainty.</w:t>
      </w:r>
    </w:p>
    <w:p>
      <w:pPr>
        <w:spacing w:after="0" w:line="68"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Future public health emergencies, and unpredictable responses by authorities around the world could negatively impact our global operations, customers and suppliers. Any future public health crises, epidemics, pandemics or similar events could result in disruptions to our operations, including higher rates of employee absenteeism and supply chain disruptions, decreased demand for our products, volatility in financial markets, and overall deterioration of national and global economic conditions.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15" w:name="page16"/>
    <w:bookmarkEnd w:id="15"/>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Given the tremendous uncertainties and variables associated with public health crises, we cannot predict the impact of such events, but any one could have a material adverse impact on our business, financial position, results of operations and/or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INTERNATIONAL OPERATIONS</w:t>
      </w:r>
    </w:p>
    <w:p>
      <w:pPr>
        <w:spacing w:after="0" w:line="10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sales may be derived from our international operations, which exposes us to certain risks inherent in doing business on an international level.</w:t>
      </w:r>
    </w:p>
    <w:p>
      <w:pPr>
        <w:spacing w:after="0" w:line="5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For the fiscal year ended December 31, 2025, approximately half of our consolidated net sales were to customers outside of the United States. We intend to continue to expand our international operations, including in emerging markets, in the future. Our global headquarters for the Transit group is located in France, and we conduct other international operations through a variety of wholly and majority-owned subsidiaries and joint ventures, including in Australia, Austria, Brazil, Canada, China, Czech Republic, France, Germany, India, Italy, Kazakhstan/Commonwealth of Independent States ("CIS"), the Republic of North Macedonia, Mexico, the Netherlands, Poland, Spain, South Africa, Guinea, Turkey, Japan, and the United Kingdom. As a result, we are subject to various risks, any one of which could have a material adverse effect on those operations and on our business as a whole, including:</w:t>
      </w:r>
    </w:p>
    <w:p>
      <w:pPr>
        <w:spacing w:after="0" w:line="5" w:lineRule="exact"/>
        <w:rPr>
          <w:sz w:val="20"/>
          <w:szCs w:val="20"/>
          <w:color w:val="auto"/>
        </w:rPr>
      </w:pPr>
    </w:p>
    <w:p>
      <w:pPr>
        <w:ind w:left="620" w:hanging="329"/>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complete operating control;</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local business experience;</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fluctuations and devaluations;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currency conversion or the transfer of funds or limitations on our ability to repatriate income or capital;</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operating within multiple tax jurisdictions and potentially material impacts associated with changes in applicable tax laws;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trade restrictions and exchange controls;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of international trade policies, such as import quotas, capital controls or tariffs;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enforcing agreements and intellectual property rights;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of complying with complex and changing laws, regulations, and policies of foreign governments;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involved in staffing and managing widespread operations;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nationalization of enterprises;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social instability;</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reputational harm associated with doing business in certain countries;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local catastrophes, such as natural disasters and epidemics; and</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terrorist attacks, conflicts and wars, including actions targeting American interests.</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exposure to the risks associated with international operations may intensify if our international operations expand in the future.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increased costs or margin degradation due to fluctuations in interest rates and foreign currency exchange rates.</w:t>
      </w:r>
    </w:p>
    <w:p>
      <w:pPr>
        <w:spacing w:after="0" w:line="121"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are exposed to increases in interest rates that may adversely affect funding costs associated with variable-rate debt and changes in foreign currency exchange rates. We are subject to currency exchange rate risk to the extent that our costs may be denominated in currencies other than those in which we earn and report revenues and vice versa. In addition, a decrease in the value of any of these currencies relative to the U.S. dollar could reduce our profits from non-U.S. operations and the translated value of the net assets of our non-U.S. operations when reported in U.S. dollars in our consolidated financial statements. We may seek to minimize these risks through the use of interest rate swap contracts and currency hedging agreements. There can be no assurance that any of these measures will be effective. Material changes in interest or exchange rates could result in material losses to us.</w:t>
      </w:r>
    </w:p>
    <w:p>
      <w:pPr>
        <w:spacing w:after="0" w:line="7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operations located in emerging markets, and are subject to regulatory, economic, social and political uncertainties in such markets.</w:t>
      </w:r>
    </w:p>
    <w:p>
      <w:pPr>
        <w:spacing w:after="0" w:line="5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have substantial operations located in emerging markets, such as Brazil, India, and Kazakhstan. Operations in such emerging markets are inherently risky due to a number of regulatory, economic, social and political uncertainties, which may be exacerbated in environments of heightened geopolitical uncertainty and volatility. These risks include economies that may be dependent on only a few products and are therefore subject to significant fluctuations, weak legal systems which may affect our ability to enforce contractual rights, possible exchange controls, unstable governments, nationalization or privatization actions or other government actions affecting the flow of goods and currency.</w:t>
      </w:r>
    </w:p>
    <w:p>
      <w:pPr>
        <w:spacing w:after="0" w:line="75"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Significant changes in economic and regulatory policy in emerging countries, as well as social or political uncertainties, could significantly harm business and economic conditions in these markets generally and could disproportionately impact the rail industry, which could adversely affect our business and prospects in these markets.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6" w:name="page17"/>
    <w:bookmarkEnd w:id="16"/>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addition, physical and financial infrastructure may be less developed in some emerging countries than that of many developed nations. Any disruptions with respect to banking and financial infrastructure, communication systems or any public facility, including transportation infrastructure, could disrupt our normal business activity. Such disruptions could interrupt our business operations and significantly harm our results of operations, financial condition and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Regional and international conflicts may adversely affect our business and results of operations.</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Given the nature of our business and our global operations, political, economic, and other conditions in foreign countries and regions, may adversely affect our business and results of operations. Regional and international conflicts could have a wide range of negative consequences, including causing damage or disruption to international commerce, disruptions to transportation and distribution routes, volatility in commodity markets, supply chain disruptions, business disruptions (including labor shortages), foreign currency dislocations or broader regional instability.</w:t>
      </w:r>
    </w:p>
    <w:p>
      <w:pPr>
        <w:spacing w:after="0" w:line="72"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For example, the continuing conflict between Russia and Ukraine has affected, and may continue to adversely affect our business and results of operations. The broader consequences of this conflict, which may include sanctions, embargoes, regional instability, and geopolitical shifts; disruptions to transportation and distribution routes, or strategic decisions to alter certain routes; potential retaliatory action by the Russian government against companies, including us, including nationalization of foreign businesses and/or assets in Russia; increased tensions between the United States and countries in which we operate; and the extent of the conflict’s effect on our business and results of operations as well as the global economy, cannot be predicted.</w:t>
      </w:r>
    </w:p>
    <w:p>
      <w:pPr>
        <w:spacing w:after="0" w:line="75"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Additionally, Wabtec has operations in Kazakhstan that have continued operating but have incurred supply, distribution and currency impacts as an indirect result from the Russian invasion of Ukraine. To date, the operations in Kazakhstan have not been significantly impacted by the ongoing conflict outside of the overall unfavorable impact to economic conditions; however, the future impact to these operations cannot be predicted.</w:t>
      </w:r>
    </w:p>
    <w:p>
      <w:pPr>
        <w:spacing w:after="0" w:line="68"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To the extent a regional or international conflict adversely affects our business, particularly in Russia and Kazakhstan, it may also have the effect of heightening many other risks disclosed in this Annual Report, any of which could materially and adversely affect our business and results of operations. Such risks include, but are not limited to, adverse effects on macroeconomic conditions, including inflation and business spending; disruptions to our global technology infrastructure, including through cyberattack, ransom attack, or cyber-intrusion; adverse changes in international trade policies and relations; our ability to maintain or increase our prices, our ability to implement and execute our business strategy, disruptions in global supply chains, our exposure to foreign currency fluctuations, and constraints, volatility, or disruption in the capital markets, difficulty staffing and managing impacted operations, and the recoverability of assets in the region.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MACRO-ECONOMIC CONDITIONS AND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Prolonged unfavorable economic and market conditions could adversely affect our business.</w:t>
      </w:r>
    </w:p>
    <w:p>
      <w:pPr>
        <w:spacing w:after="0" w:line="12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Unfavorable general economic and market conditions in the United States and internationally, particularly in our key end markets, could have a negative impact on our sales and operations. To the extent that these factors result in continued instability of capital markets, shortages of raw materials or component parts, longer sales cycles, deferral or delay of customer orders or an inability to market our products effectively, our business and results of operations could be materially adversely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raw material shortages, supply shortages, fluctuations in raw material, energy and commodity prices, and inflationary pressure.</w:t>
      </w:r>
    </w:p>
    <w:p>
      <w:pPr>
        <w:spacing w:after="0" w:line="12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purchase energy, steel, aluminum, copper, rubber and rubber-based materials, chemicals, polymers and other key manufacturing inputs from outside sources, and traditionally have not had long-term pricing contracts with our pure raw material suppliers. The costs of these raw materials have been volatile historically and are influenced by factors that are outside our control, including inflationary pressure. If we are unable to pass increases in the costs of our raw materials on to our customers, experience a lag in our ability to pass increases to our customers, or operational efficiencies are not achieved, our operating margins and results of operations may be materially adversely affected.</w:t>
      </w:r>
    </w:p>
    <w:p>
      <w:pPr>
        <w:spacing w:after="0" w:line="75"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Our businesses compete globally for key production inputs. In addition, we rely upon third-party suppliers, including certain single-sourced suppliers, for various components for our products. In the event of a shortage or discontinuation of certain raw materials or key inputs, we may experience challenges sourcing certain of our components to meet our production requirements and may not be able to arrange for alternative sources of certain raw materials or key inputs. Any such shortage may materially adversely affect our competitive position versus companies that are able to better or more cheaply source such raw materials or key inputs.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international trade policies, including tariffs and foreign trade restrictions, could adversely affect our business.</w:t>
      </w:r>
    </w:p>
    <w:p>
      <w:pPr>
        <w:spacing w:after="0" w:line="121" w:lineRule="exact"/>
        <w:rPr>
          <w:sz w:val="20"/>
          <w:szCs w:val="20"/>
          <w:color w:val="auto"/>
        </w:rPr>
      </w:pPr>
    </w:p>
    <w:p>
      <w:pPr>
        <w:jc w:val="both"/>
        <w:ind w:right="560" w:firstLine="486"/>
        <w:spacing w:after="0" w:line="266" w:lineRule="auto"/>
        <w:rPr>
          <w:sz w:val="20"/>
          <w:szCs w:val="20"/>
          <w:color w:val="auto"/>
        </w:rPr>
      </w:pPr>
      <w:r>
        <w:rPr>
          <w:rFonts w:ascii="Times New Roman" w:cs="Times New Roman" w:eastAsia="Times New Roman" w:hAnsi="Times New Roman"/>
          <w:sz w:val="18"/>
          <w:szCs w:val="18"/>
          <w:color w:val="auto"/>
        </w:rPr>
        <w:t>As a global transportation company, we generate export sales from our U.S. operations and also derive international sales through our foreign subsidiaries, licensees and joint ventures. We also do business with industry suppliers located in various international markets. A protectionist trade environment in either the United States or those foreign countries in which we do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 w:name="page18"/>
    <w:bookmarkEnd w:id="17"/>
    <w:p>
      <w:pPr>
        <w:ind w:right="140"/>
        <w:spacing w:after="0" w:line="261" w:lineRule="auto"/>
        <w:rPr>
          <w:sz w:val="20"/>
          <w:szCs w:val="20"/>
          <w:color w:val="auto"/>
        </w:rPr>
      </w:pPr>
      <w:r>
        <w:rPr>
          <w:rFonts w:ascii="Times New Roman" w:cs="Times New Roman" w:eastAsia="Times New Roman" w:hAnsi="Times New Roman"/>
          <w:sz w:val="18"/>
          <w:szCs w:val="18"/>
          <w:color w:val="auto"/>
        </w:rPr>
        <w:t>business, such as a change in the current tariff structures, export compliance or other trade policies, may adversely affect our business. In particular, such policies may impact or delay our customers' investments in our products, reduce the competitiveness of our products in certain markets, and inhibit our ability to cost-effectively purchase necessary inputs from certain suppliers. In addition, to the extent developments in international trade relations result in reduced global trade or slower growth in global trade, it is likely that this would result in reductions in investment in freight and transit rail.</w:t>
      </w:r>
    </w:p>
    <w:p>
      <w:pPr>
        <w:spacing w:after="0" w:line="72"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International trade policies are affected by a diverse array of factors, including global and national economic and political conditions, which make it impossible for us to predict future developments regarding tariffs and other trade restrictions. Although we actively monitor developments in international trade and proactively engage in efforts to mitigate the effect of trade policies, there can be no guarantee that these efforts will be successful.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laws and regulations, including anti-corruption laws, in various jurisdictions.</w:t>
      </w:r>
    </w:p>
    <w:p>
      <w:pPr>
        <w:spacing w:after="0" w:line="12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are subject to various laws, rules and regulations administered by authorities in jurisdictions in which we do business, such as the anti-corruption laws of the U.S. Foreign Corrupt Practices Act, the French Law n° 2016-1691 (Sapin II) and the U.K. Bribery Act, relating to our business and our employees. We are also subject to other laws and regulations governing our international operations, including regulations administered by the U.S. Department of Commerce’s Bureau of Industry and Security, the U.S. Department of Treasury’s Office of Foreign Assets Control, and various non-U.S. government entities, including applicable export control regulations, economic sanctions on countries and persons, customs requirements, currency exchange regulations, and transfer pricing regulations. Despite our policies, procedures and compliance programs, our internal controls and compliance systems may not be able to protect us from prohibited acts willfully committed by our employees, agents or business partners that would violate such applicable laws and regulations. Any such improper acts could damage our reputation, subject us to civil or criminal judgments, fines or penalties, and could otherwise disrupt our business, and as a result, could materially adversely impact our business, results of operations and financial condition.</w:t>
      </w:r>
    </w:p>
    <w:p>
      <w:pPr>
        <w:spacing w:after="0" w:line="80"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In addition, our manufacturing operations and products are subject to safety, operations, maintenance and mechanical standards, rules and regulations enforced by various federal and state agencies and industry organizations both domestically and internationally. Our business may be adversely impacted by new rules and regulations or changes to existing rules or regulations, which could require additional maintenance or substantial modification or refurbishment of certain of our products or could make such products obsolete or require them to be phased out prior to their useful lives. We are unable to predict what impact these or other regulatory changes may have, if any, on our business or the industry as a whole. We cannot assure that costs incurred to comply with any new standards or regulations will not be material to our business, results of operations and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environmental laws and regulations.</w:t>
      </w:r>
    </w:p>
    <w:p>
      <w:pPr>
        <w:spacing w:after="0" w:line="12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We are subject to a variety of stringent environmental laws and regulations governing air emissions, discharges into water, chemical substances in products, the use, handling, storage, and disposal of hazardous substances or waste materials, as well as the remediation of contamination associated with releases of hazardous substances. We have incurred, and will continue to incur, both operating and capital costs to comply with environmental laws and regulations, including costs associated with the clean-up and investigation of some of our current and former properties and offsite disposal locations. We believe our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 Failure to comply with environmental laws and regulations could have significant consequences on our business and results of operations, including the imposition of substantial fines and sanctions for violations, injunctive relief (including requirements that we limit or cease operations at affected facilities), and reputational risk.</w:t>
      </w:r>
    </w:p>
    <w:p>
      <w:pPr>
        <w:spacing w:after="0" w:line="80" w:lineRule="exact"/>
        <w:rPr>
          <w:sz w:val="20"/>
          <w:szCs w:val="20"/>
          <w:color w:val="auto"/>
        </w:rPr>
      </w:pPr>
    </w:p>
    <w:p>
      <w:pPr>
        <w:ind w:firstLine="486"/>
        <w:spacing w:after="0" w:line="274" w:lineRule="auto"/>
        <w:rPr>
          <w:sz w:val="20"/>
          <w:szCs w:val="20"/>
          <w:color w:val="auto"/>
        </w:rPr>
      </w:pPr>
      <w:r>
        <w:rPr>
          <w:rFonts w:ascii="Times New Roman" w:cs="Times New Roman" w:eastAsia="Times New Roman" w:hAnsi="Times New Roman"/>
          <w:sz w:val="17"/>
          <w:szCs w:val="17"/>
          <w:color w:val="auto"/>
        </w:rPr>
        <w:t>In addition, certain of our products are subject to extensive, and increasingly stringent, statutory and regulatory requirements governing attributes, such as emissions and noise, including standards imposed by the U.S. Environmental Protection Agency, the European Union and other regulatory agencies around the world. We have made, and will continue to make, significant capital and research expenditures relating to compliance with these standards. The successful development and introduction of new and enhanced products in order to comply with new regulatory requirements are subject to other risks, such as delays in product development, cost over-runs and unanticipated technical and manufacturing difficulties. In addition to these risks, the nature and timing of government implementation and enforcement of these standards-particularly in emerging markets-are unpredictable and subject to change.</w:t>
      </w:r>
    </w:p>
    <w:p>
      <w:pPr>
        <w:spacing w:after="0" w:line="6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climate change regulation could result in increased operating costs, affect the demand for our products or affect the ability of our critical suppliers to meet our needs.</w:t>
      </w:r>
    </w:p>
    <w:p>
      <w:pPr>
        <w:spacing w:after="0" w:line="51"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Potential regulation addressing climate change may affect the Company's operations and products in certain jurisdictions. The potential challenges posed by evolving climate change policy and prospective regulation are heavily dependent on the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8" w:name="page19"/>
    <w:bookmarkEnd w:id="18"/>
    <w:p>
      <w:pPr>
        <w:ind w:right="300"/>
        <w:spacing w:after="0" w:line="266" w:lineRule="auto"/>
        <w:rPr>
          <w:sz w:val="20"/>
          <w:szCs w:val="20"/>
          <w:color w:val="auto"/>
        </w:rPr>
      </w:pPr>
      <w:r>
        <w:rPr>
          <w:rFonts w:ascii="Times New Roman" w:cs="Times New Roman" w:eastAsia="Times New Roman" w:hAnsi="Times New Roman"/>
          <w:sz w:val="18"/>
          <w:szCs w:val="18"/>
          <w:color w:val="auto"/>
        </w:rPr>
        <w:t>nature and degree of such legislation, the consistency (or lack of consistency) of legislation across jurisdictions in which we operate, and the extent to which such regulation and legislation applies to our industry. Although uncertain, these developments could increase costs or reduce the demand for the products the company sells.</w:t>
      </w:r>
    </w:p>
    <w:p>
      <w:pPr>
        <w:spacing w:after="0" w:line="6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International agreements, domestic legislation and regulatory measures to limit greenhouse gas emissions are currently in various phases of discussion or implementation. While we are carefully monitoring developments, at this time, we cannot predict the ultimate impact of climate change and climate change regulation on our operations. Any laws or regulations that may be adopted to restrict or reduce emissions of greenhouse gas could require us to incur increased operating costs and could have an adverse effect on demand for our products. In addition, the price and availability of certain of the raw materials that we use could vary in the future as a result of environmental laws and regulations affecting our suppliers. An increase in the price of our raw materials or a decline in their availability could adversely affect our operating margins or result in reduced demand for our products.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occurrence of litigation in which we are, or could be, named as a defendant is unpredictable.</w:t>
      </w:r>
    </w:p>
    <w:p>
      <w:pPr>
        <w:spacing w:after="0" w:line="121"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directly or through our subsidiaries, to litigation or other commercial disputes and other legal and regulatory proceedings with respect to our business, customers, suppliers, creditors, stockholders, product liability (including asbestos claims), intellectual property infringement, competition and antitrust claims, warranty claims or environmental-related matters.</w:t>
      </w:r>
    </w:p>
    <w:p>
      <w:pPr>
        <w:spacing w:after="0" w:line="68"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Due to the inherent uncertainties of any litigation, commercial disputes or other legal or regulatory proceedings, we cannot accurately predict their ultimate outcome, including the outcome of any related appeals. We may incur significant expense to defend or otherwise address current or future claims. Although we maintain insurance policies for certain risks, we cannot make assurances that this insurance will be adequate to protect us from all material judgments and expenses related to potential future claims or that these levels of insurance will be available in the future at economical prices or at all. In addition, although in some cases we may be indemnified by non-affiliated entities that retain liabilities in connection with specific matters, there can be no assurance that these indemnitors will remain financially viable and capable of satisfying their obligations.</w:t>
      </w:r>
    </w:p>
    <w:p>
      <w:pPr>
        <w:spacing w:after="0" w:line="7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Any litigation, even a claim without merit, could result in substantial costs and diversion of resources and could have a material adverse effect on our business and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manufacturer’s warranties or product liability may expose us to potentially significant claims.</w:t>
      </w:r>
    </w:p>
    <w:p>
      <w:pPr>
        <w:spacing w:after="0" w:line="121"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We warrant the workmanship and materials of many of our products. Accordingly, we are subject to a risk of product liability or warranty claims in the event that the failure of any of our products results in personal injury or death or does not conform to our customers’ specifications. In addition, in recent years, we have introduced a number of new products for which we do not have a history of warranty experience. Although we currently maintain liability insurance coverage, we cannot assure that product liability claims, if made, would not exceed our insurance coverage limits or that insurance will continue to be available on commercially acceptable terms, if at all. The possibility exists for these types of warranty claims to result in costly product recalls, significant repair costs and damage to our reputation.</w:t>
      </w:r>
    </w:p>
    <w:p>
      <w:pPr>
        <w:spacing w:after="0" w:line="7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Expectations relating to environmental, social and governance considerations expose us to potential liabilities, increased costs, reputational harm, and other adverse effects on our business.</w:t>
      </w:r>
    </w:p>
    <w:p>
      <w:pPr>
        <w:spacing w:after="0" w:line="5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Many governments, regulators, investors, employees, customers and other stakeholders are focused on environmental, social and governance considerations relating to businesses, including climate action and greenhouse gas emissions, supply chain due diligence, human capital management, and diversity initiatives. We make statements about our ESG goals and initiatives through information provided in reports that we file or furnish with the Securities and Exchange Commission, on our website, in press statements, and in other communications, including through our Sustainability Reports. Our response to these ESG considerations and the implementation of these goals and initiatives involves risks and uncertainties, including those described under “Forward-Looking Statements,” and such response may be impacted by factors that are outside our control. In addition, some stakeholders may disagree with our goals and initiatives and the focus of stakeholders may change and evolve over time. Stakeholders also may have different views on the relative prioritization of the Company's ESG focus, including differing views of regulators in various jurisdictions in which we operate. Any failure, or perceived failure, by us to achieve our goals, further our initiatives, adhere to our public statements, comply with federal, state or international environmental, social and governance laws and regulations, or meet evolving and varied stakeholder expectations and standards could result in legal and regulatory proceedings against us and materially adversely affect our business, reputation, results of operations, financial condition, and stock price.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DATA SECURITY AND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protect our intellectual property and other proprietary rights, we may be adversely affected.</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success can be impacted by our ability to protect our intellectual property and other proprietary rights. We rely primarily on patents, trademarks, copyrights, trade secrets and unfair competition laws, as well as license agreements and other contractual provisions, to protect our intellectual property and other proprietary rights. However, filing, prosecuting and defending patents on our products in all countries and jurisdictions throughout the world would be prohibitively expensive. Moreover, existing U.S. legal standards relating to the validity, enforceability and scope of protection of intellectual property rights offer only limited protection, may not provide us with any competitive advantages and may be challenged by third parties. The laws of countries other than the United States may be even less protective of intellectual property rights. As a result, a significant portion of our technology is not patented, and we may be unable or may not seek to obtain patent protection for this technology. Further, although we routinely conduct anti-counterfeiting activities in multiple jurisdictions, we have encountered counterfeit reproductions of our products or products that otherwise infringe on our intellectual property rights. Counterfeit components of low quality may negatively impact our brand value. Accordingly, despite our efforts, we may be unable to prevent third parties from infringing upon, counterfeiting or misappropriating our intellectual property or otherwise gaining access to our technology. If we fail to protect our intellectual property and other proprietary rights, then our business, results of operations and financial condition could be negatively impacted.</w:t>
      </w:r>
    </w:p>
    <w:p>
      <w:pPr>
        <w:spacing w:after="0" w:line="84"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In addition, we operate in industries in which there are many third-party owners of intellectual property rights. Owners of intellectual property that we need to conduct our business as it evolves may be unwilling to license such intellectual property rights to us on terms we consider reasonable. Third party intellectual property owners may assert infringement claims against us based on their intellectual property portfolios. If we are sued for intellectual property infringement, we may incur significant expenses investigating and defending such claims, even if we prevail.</w:t>
      </w:r>
    </w:p>
    <w:p>
      <w:pPr>
        <w:spacing w:after="0" w:line="6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cyber-security and data protection risks relating to cyber-attacks and information technology failures that could cause loss of confidential information and other business disruptions.</w:t>
      </w:r>
    </w:p>
    <w:p>
      <w:pPr>
        <w:spacing w:after="0" w:line="5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We rely extensively on the security, stability, and availability of technology systems in our business. We also collect, process, and retain sensitive and confidential customer information, including proprietary business information, personal data and other information that may be subject to privacy and security laws, regulations and/or customer-imposed data protection controls. Our business may be adversely impacted by unintentional technology disruptions, including those resulting from programming errors, employee operational errors, software defects, and product vulnerabilities.</w:t>
      </w:r>
    </w:p>
    <w:p>
      <w:pPr>
        <w:spacing w:after="0" w:line="72"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We also provide technological products integral to train operation. Accordingly, our business may be adversely impacted by disruptions to our own or third-party information technology infrastructure, which could result from cybersecurity incidents, including, but not limited to, unauthorized access to the Company’s information technology systems, data access or acquisition, and/or encryption of the Company’s environment.</w:t>
      </w:r>
    </w:p>
    <w:p>
      <w:pPr>
        <w:spacing w:after="0" w:line="54"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7"/>
          <w:szCs w:val="17"/>
          <w:color w:val="auto"/>
        </w:rPr>
        <w:t>The security and functionality of our information technology systems, and the process of data by these systems, are critical to our business operations. If these systems are damaged, intruded upon, attacked, shutdown, or cease to function properly, and we suffer any resulting interruption in our ability to manage and operate our business, or if our products are affected, our results of operations and financial condition could be materially adversely affected. We have experienced cyber-security incidents that have impacted the Company's network. We have also been indirectly affected by vulnerabilities in third-party systems used for certain Wabtec products. In each instance, the Company has promptly activated incident response protocols and completed a thorough investigation. Such incidents have not had a material impact on our business, operations or financial results. However, a successful exploitation of our own, our vendors’ or our customers' information technology infrastructure could result in service interruptions, safety hazards, misappropriation of confidential information, process failures, security breaches or other operational difficulties. Such an event could result in decreased revenues and increased capital, insurance or operating costs, including the increased costs of security to protect the Company’s infrastructure, among other results. Insurance maintained by the Company to protect against loss of business and other related consequences resulting from cyber incidents may not be sufficient to cover all damages. A disruption or compromise of the Company’s technology systems, even for short periods of time, could have a material adverse effect.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HUMAN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shortages and labor disputes may have a material adverse effect on our operations and profitability.</w:t>
      </w:r>
    </w:p>
    <w:p>
      <w:pPr>
        <w:spacing w:after="0" w:line="121"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We depend on skilled labor in our manufacturing and other businesses. Due to the competitive nature of the labor markets in which we operate, we may not be able to retain, recruit and train the personnel we require, particularly when the economy expands, production rates are high or competition for such skilled labor increases.</w:t>
      </w:r>
    </w:p>
    <w:p>
      <w:pPr>
        <w:spacing w:after="0" w:line="68"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We collectively bargain with labor unions at some of our operations throughout the world. Failure to reach an agreement could result in strikes or other labor protests which could disrupt our operations. Furthermore, non-union employees in certain countries have the right to strike. If we were to experience a strike or work stoppage, it could be difficult for us to find a</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0" w:name="page21"/>
    <w:bookmarkEnd w:id="20"/>
    <w:p>
      <w:pPr>
        <w:ind w:right="260"/>
        <w:spacing w:after="0" w:line="282" w:lineRule="auto"/>
        <w:rPr>
          <w:sz w:val="20"/>
          <w:szCs w:val="20"/>
          <w:color w:val="auto"/>
        </w:rPr>
      </w:pPr>
      <w:r>
        <w:rPr>
          <w:rFonts w:ascii="Times New Roman" w:cs="Times New Roman" w:eastAsia="Times New Roman" w:hAnsi="Times New Roman"/>
          <w:sz w:val="18"/>
          <w:szCs w:val="18"/>
          <w:color w:val="auto"/>
        </w:rPr>
        <w:t>sufficient number of employees with the necessary skills to replace these employees. We cannot assure that we will reach any such agreement or that we will not encounter strikes or other types of conflicts with the labor unions of our personnel.</w:t>
      </w:r>
    </w:p>
    <w:p>
      <w:pPr>
        <w:spacing w:after="0" w:line="54"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Any such labor shortages or labor disputes could have an adverse effect on our business, results of operations and financial condition, could cause us to lose revenues and customers and might have permanent effects on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management team and other key personnel.</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depend on the skills, working relationships, and continued services of key personnel, including our experienced management team, and other key employees. In addition, our ability to achieve our operating goals depends on our ability to identify, hire, train, and retain qualified individuals. We compete with other companies both within and outside of our industry for talented personnel, and we may lose key personnel or fail to attract, train, and retain other talented personnel. Any such loss or failure could adversely affect our product sales, financial condition, and operating results. If we lose key personnel, because they terminate their employment or retire, or as a result of illness, disability or death, or if an insufficient number of employees is retained to maintain effective operations, our business activities may be adversely affected and our management team's attention may be diverted. In addition, we may not be able to locate suitable replacements for any key personnel that we lose, or we may not be able to hire potential replacements on reasonable terms, all of which could adversely affect our product sales, financial condition, and operating results.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health.</w:t>
      </w:r>
    </w:p>
    <w:p>
      <w:pPr>
        <w:spacing w:after="0" w:line="121" w:lineRule="exact"/>
        <w:rPr>
          <w:sz w:val="20"/>
          <w:szCs w:val="20"/>
          <w:color w:val="auto"/>
        </w:rPr>
      </w:pPr>
    </w:p>
    <w:p>
      <w:pPr>
        <w:ind w:right="620" w:firstLine="486"/>
        <w:spacing w:after="0" w:line="261" w:lineRule="auto"/>
        <w:rPr>
          <w:sz w:val="20"/>
          <w:szCs w:val="20"/>
          <w:color w:val="auto"/>
        </w:rPr>
      </w:pPr>
      <w:r>
        <w:rPr>
          <w:rFonts w:ascii="Times New Roman" w:cs="Times New Roman" w:eastAsia="Times New Roman" w:hAnsi="Times New Roman"/>
          <w:sz w:val="18"/>
          <w:szCs w:val="18"/>
          <w:color w:val="auto"/>
        </w:rPr>
        <w:t>At December 31, 2025, we had total debt of $5.5 billion, primarily related to Senior Notes and credit agreements. Being indebted could have important consequences to us. For example, our indebtedness could:</w:t>
      </w:r>
    </w:p>
    <w:p>
      <w:pPr>
        <w:ind w:left="620" w:hanging="329"/>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9" w:lineRule="exact"/>
        <w:rPr>
          <w:rFonts w:ascii="Times New Roman" w:cs="Times New Roman" w:eastAsia="Times New Roman" w:hAnsi="Times New Roman"/>
          <w:sz w:val="18"/>
          <w:szCs w:val="18"/>
          <w:color w:val="auto"/>
        </w:rPr>
      </w:pPr>
    </w:p>
    <w:p>
      <w:pPr>
        <w:ind w:left="620" w:right="160" w:hanging="329"/>
        <w:spacing w:after="0" w:line="250" w:lineRule="auto"/>
        <w:tabs>
          <w:tab w:leader="none" w:pos="6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to fund working capital, capital expenditures, acquisitions, and other general corporate purposes;</w:t>
      </w:r>
    </w:p>
    <w:p>
      <w:pPr>
        <w:ind w:left="620" w:hanging="329"/>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industries in which we operate;</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competitors that have less debt;</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and,</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higher borrowing costs impacting our financial results upon refinancing any of our maturing debt.</w:t>
      </w:r>
    </w:p>
    <w:p>
      <w:pPr>
        <w:spacing w:after="0" w:line="9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Moreover, our credit agreements and the indentures governing our Senior Notes permit us to incur substantial additional indebtedness, which may further contribute to, or exacerbate the impact of, the foregoing impacts.</w:t>
      </w:r>
    </w:p>
    <w:p>
      <w:pPr>
        <w:spacing w:after="0" w:line="5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indentures for our outstanding Senior Notes and the agreements governing certain of our credit facilities contains various covenants that limit our management’s discretion in the operation of our businesses.</w:t>
      </w:r>
    </w:p>
    <w:p>
      <w:pPr>
        <w:spacing w:after="0" w:line="5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Our credit agreement subjects us to customary (i) affirmative covenants, including requirements with respect to certain reporting obligations on us and our subsidiaries, and (ii) negative covenants, including limitations on: indebtedness; liens; restricted payments; fundamental changes (including certain changes in control); business activities; transactions with affiliates; restrictive agreements; changes in fiscal year; and use of proceeds. In addition, we are required to maintain (i) an Interest Coverage Ratio of at least 3.00 to 1.00, calculated using an earnings metric as defined in the agreement compared to Interest Expense for the four quarters then ended and (ii) a Leverage Ratio, calculated by net debt (total debt, net of up to $500 million of unrestricted cash) as of the last day of such fiscal quarter to the defined earnings metric for the four quarters then ended, of 3.5 or less. All terms are as defined in the credit agreements.</w:t>
      </w:r>
    </w:p>
    <w:p>
      <w:pPr>
        <w:spacing w:after="0" w:line="81"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The indentures under which our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In addition, the indentures require that we offer to repurchase our outstanding Senior Notes upon the occurrence of certain change of control triggering events.</w:t>
      </w:r>
    </w:p>
    <w:p>
      <w:pPr>
        <w:spacing w:after="0" w:line="108"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1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The security of the Company’s products, data, services and network is a critical priority. To effectively assess, identify and manage material risks associated with cybersecurity threats, the Company has adopted a comprehensive approach with respect to acceptable use, risk management, data privacy, education and awareness, security incident management and reporting, identity and access management, third-party management, security (with respect to physical assets, products, networks and systems), security monitoring and vulnerability identification. The Company has, and continues to, invest in internal and external tools to better detect, patch, monitor, and restore systems. Further, the Company maintains cybersecurity insurance coverage intended to protect against loss of business and other related consequences resulting from cyber incidents.</w:t>
      </w:r>
    </w:p>
    <w:p>
      <w:pPr>
        <w:spacing w:after="0" w:line="7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Company also maintains a global incident response plan and regularly conducts exercises to help with our overall preparedness. The Company takes measures to improve and update our cybersecurity program, including independent third party assessments, penetration testing and scanning of our systems for vulnerabilities. The Company pairs with assessors, consultants, auditors, and other third-party service providers and advisers to assist in monitoring cybersecurity risks.</w:t>
      </w:r>
    </w:p>
    <w:p>
      <w:pPr>
        <w:spacing w:after="0" w:line="72"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Company remains committed to preserving the integrity of its network, while remaining adaptable to identify new and emerging threats relying on both internal and external research and intelligence gathering. The Company has instituted a Cybersecurity Awareness Month program and utilizes various methodologies throughout the year for continued awareness on emerging cybersecurity risks. To date, the risks from cybersecurity threats have not had a material impact on our business, operations or financial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1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Company and its Board understands the importance of maintaining a secure environment for our products, data and systems that effectively supports our business objectives and customer needs. Cybersecurity risks are overseen by the Risk and Public Policy Committee of the Board. The Senior Vice-President and Chief Information Officer (“CIO”) and Chief Information Security Officer (“CISO”) provide periodic reports to the Risk and Public Policy Committee, which includes information about cyber-risk management, the effectiveness of the Company’s cybersecurity framework, and benchmarking the Company against its industry peers. The CISO is responsible for navigating cyber risks, data access governance, security governance and global regulatory compliance related to cybersecurity regulations and industry standards. The Company also has a Chief Product Security Officer (“CPSO”) who manages embedding cybersecurity in the Company’s products and services as they are being developed.</w:t>
      </w:r>
    </w:p>
    <w:p>
      <w:pPr>
        <w:spacing w:after="0" w:line="8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Company’s CIO, CISO, and cybersecurity team collectively have decades of experience in various roles managing information security, developing cybersecurity strategy, and implementing, planning and operationalizing a comprehensive global IT infrastructure. Our CIO and CISO maintain relevant degrees, certifications, and trainings while also being recognized as experts in their respective fields by industry leaders.</w:t>
      </w:r>
    </w:p>
    <w:p>
      <w:pPr>
        <w:spacing w:after="0" w:line="68" w:lineRule="exact"/>
        <w:rPr>
          <w:sz w:val="20"/>
          <w:szCs w:val="20"/>
          <w:color w:val="auto"/>
        </w:rPr>
      </w:pPr>
    </w:p>
    <w:p>
      <w:pPr>
        <w:ind w:right="120" w:firstLine="486"/>
        <w:spacing w:after="0" w:line="274" w:lineRule="auto"/>
        <w:rPr>
          <w:sz w:val="20"/>
          <w:szCs w:val="20"/>
          <w:color w:val="auto"/>
        </w:rPr>
      </w:pPr>
      <w:r>
        <w:rPr>
          <w:rFonts w:ascii="Times New Roman" w:cs="Times New Roman" w:eastAsia="Times New Roman" w:hAnsi="Times New Roman"/>
          <w:sz w:val="17"/>
          <w:szCs w:val="17"/>
          <w:color w:val="auto"/>
        </w:rPr>
        <w:t>The Company also conducts ongoing cyber security reviews which include updates on the Company’s enterprise cybersecurity risk and product cybersecurity risk. Risk is assessed utilizing internal key performance indicators and external evaluations to determine the Company’s cybersecurity score in comparison to its peer group. Wabtec's Board of Directors participates in all enterprise annual security awareness training and phishing campaigns. Throughout the year, as appropriate, in addition to regularly scheduled updates, the Risk and Public Policy Committee, CIO, and CISO maintain an ongoing dialogue regarding the Company’s cybersecurity risk and posture. The cybersecurity framework is also supported by Wabtec's broader enterprise risk management process to ensure alignment of the Company’s cybersecurity efforts with the Company’s overall enterprise risk management.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22" w:name="page23"/>
    <w:bookmarkEnd w:id="22"/>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firstLine="486"/>
        <w:spacing w:after="0" w:line="263" w:lineRule="auto"/>
        <w:rPr>
          <w:sz w:val="20"/>
          <w:szCs w:val="20"/>
          <w:color w:val="auto"/>
        </w:rPr>
      </w:pPr>
      <w:r>
        <w:rPr>
          <w:rFonts w:ascii="Times New Roman" w:cs="Times New Roman" w:eastAsia="Times New Roman" w:hAnsi="Times New Roman"/>
          <w:sz w:val="18"/>
          <w:szCs w:val="18"/>
          <w:color w:val="auto"/>
        </w:rPr>
        <w:t>The following table provides certain summary information about the principal facilities owned or leased by the Company as of December 31, 2025. The Company believes that its facilities and equipment are generally in good condition and that, together with scheduled capital improvements, they are adequate for its present and immediately projected needs. Leases on the facilities are mainly long-term and generally include options to renew.</w:t>
      </w:r>
    </w:p>
    <w:tbl>
      <w:tblPr>
        <w:tblLayout w:type="fixed"/>
        <w:tblInd w:w="0" w:type="dxa"/>
        <w:tblCellMar>
          <w:top w:w="0" w:type="dxa"/>
          <w:left w:w="0" w:type="dxa"/>
          <w:bottom w:w="0" w:type="dxa"/>
          <w:right w:w="0" w:type="dxa"/>
        </w:tblCellMar>
      </w:tblPr>
      <w:tr>
        <w:trPr>
          <w:trHeight w:val="148"/>
        </w:trPr>
        <w:tc>
          <w:tcPr>
            <w:tcW w:w="314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5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15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Own/Lease</w:t>
            </w:r>
          </w:p>
        </w:tc>
        <w:tc>
          <w:tcPr>
            <w:tcW w:w="1420" w:type="dxa"/>
            <w:vAlign w:val="bottom"/>
          </w:tcPr>
          <w:p>
            <w:pPr>
              <w:jc w:val="right"/>
              <w:ind w:right="212"/>
              <w:spacing w:after="0" w:line="148"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96"/>
        </w:trPr>
        <w:tc>
          <w:tcPr>
            <w:tcW w:w="3140" w:type="dxa"/>
            <w:vAlign w:val="bottom"/>
            <w:gridSpan w:val="2"/>
            <w:vMerge w:val="continue"/>
          </w:tcPr>
          <w:p>
            <w:pPr>
              <w:spacing w:after="0"/>
              <w:rPr>
                <w:sz w:val="17"/>
                <w:szCs w:val="17"/>
                <w:color w:val="auto"/>
              </w:rPr>
            </w:pPr>
          </w:p>
        </w:tc>
        <w:tc>
          <w:tcPr>
            <w:tcW w:w="3560" w:type="dxa"/>
            <w:vAlign w:val="bottom"/>
            <w:gridSpan w:val="2"/>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0" w:type="dxa"/>
            <w:vAlign w:val="bottom"/>
          </w:tcPr>
          <w:p>
            <w:pPr>
              <w:spacing w:after="0"/>
              <w:rPr>
                <w:sz w:val="1"/>
                <w:szCs w:val="1"/>
                <w:color w:val="auto"/>
              </w:rPr>
            </w:pPr>
          </w:p>
        </w:tc>
      </w:tr>
      <w:tr>
        <w:trPr>
          <w:trHeight w:val="229"/>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100" w:type="dxa"/>
            <w:vAlign w:val="bottom"/>
            <w:tcBorders>
              <w:top w:val="single" w:sz="8" w:color="CCEEFF"/>
            </w:tcBorders>
            <w:shd w:val="clear" w:color="auto" w:fill="CCEEFF"/>
          </w:tcPr>
          <w:p>
            <w:pPr>
              <w:spacing w:after="0"/>
              <w:rPr>
                <w:sz w:val="19"/>
                <w:szCs w:val="19"/>
                <w:color w:val="auto"/>
              </w:rPr>
            </w:pPr>
          </w:p>
        </w:tc>
        <w:tc>
          <w:tcPr>
            <w:tcW w:w="3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Erie, PA</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Freight</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3,800,000</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 Worth, TX</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1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Own/Lease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1,438,000</w:t>
            </w:r>
          </w:p>
        </w:tc>
        <w:tc>
          <w:tcPr>
            <w:tcW w:w="0" w:type="dxa"/>
            <w:vAlign w:val="bottom"/>
          </w:tcPr>
          <w:p>
            <w:pPr>
              <w:spacing w:after="0"/>
              <w:rPr>
                <w:sz w:val="1"/>
                <w:szCs w:val="1"/>
                <w:color w:val="auto"/>
              </w:rPr>
            </w:pPr>
          </w:p>
        </w:tc>
      </w:tr>
      <w:tr>
        <w:trPr>
          <w:trHeight w:val="229"/>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Grove City, PA</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Manufacturing/Warehouse/Service</w:t>
            </w: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Freight</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728,000</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Salem, VA</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1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0" w:type="dxa"/>
            <w:vAlign w:val="bottom"/>
          </w:tcPr>
          <w:p>
            <w:pPr>
              <w:spacing w:after="0"/>
              <w:rPr>
                <w:sz w:val="1"/>
                <w:szCs w:val="1"/>
                <w:color w:val="auto"/>
              </w:rPr>
            </w:pPr>
          </w:p>
        </w:tc>
      </w:tr>
      <w:tr>
        <w:trPr>
          <w:trHeight w:val="229"/>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Oak Creek, WI</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Freight</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Indianapolis, IN</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Center/Office</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1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265,000</w:t>
            </w: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Kansas City, MO</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Freight</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Hibbing, MN</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1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157,000</w:t>
            </w: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Spartanburg, SC</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Transit</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Own/Lease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184,000</w:t>
            </w: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Pittsburgh, PA</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HQ</w:t>
            </w:r>
          </w:p>
        </w:tc>
        <w:tc>
          <w:tcPr>
            <w:tcW w:w="1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Astana, Kazakhstan</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Freight</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Own/Lease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Marhowrah, India</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1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Own/Lease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29"/>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Barton, UK</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Transit</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Luis Potosi, Mexico</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Freight/Transit</w:t>
            </w:r>
          </w:p>
        </w:tc>
        <w:tc>
          <w:tcPr>
            <w:tcW w:w="1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Own/Lease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0" w:type="dxa"/>
            <w:vAlign w:val="bottom"/>
          </w:tcPr>
          <w:p>
            <w:pPr>
              <w:spacing w:after="0"/>
              <w:rPr>
                <w:sz w:val="1"/>
                <w:szCs w:val="1"/>
                <w:color w:val="auto"/>
              </w:rPr>
            </w:pPr>
          </w:p>
        </w:tc>
      </w:tr>
      <w:tr>
        <w:trPr>
          <w:trHeight w:val="229"/>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Contagem, Brazil</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Freight</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Piossasco, Italy</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w:t>
            </w:r>
          </w:p>
        </w:tc>
        <w:tc>
          <w:tcPr>
            <w:tcW w:w="1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301,000</w:t>
            </w: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Tours, France</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Transit</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Own/Lease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Pilsen, Czech</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w:t>
            </w:r>
          </w:p>
        </w:tc>
        <w:tc>
          <w:tcPr>
            <w:tcW w:w="1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236,000</w:t>
            </w:r>
          </w:p>
        </w:tc>
        <w:tc>
          <w:tcPr>
            <w:tcW w:w="0" w:type="dxa"/>
            <w:vAlign w:val="bottom"/>
          </w:tcPr>
          <w:p>
            <w:pPr>
              <w:spacing w:after="0"/>
              <w:rPr>
                <w:sz w:val="1"/>
                <w:szCs w:val="1"/>
                <w:color w:val="auto"/>
              </w:rPr>
            </w:pPr>
          </w:p>
        </w:tc>
      </w:tr>
      <w:tr>
        <w:trPr>
          <w:trHeight w:val="229"/>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Shanghai, China</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Transit</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Bangalore, India</w:t>
            </w: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0" w:type="dxa"/>
            <w:vAlign w:val="bottom"/>
          </w:tcPr>
          <w:p>
            <w:pPr>
              <w:spacing w:after="0"/>
              <w:rPr>
                <w:sz w:val="1"/>
                <w:szCs w:val="1"/>
                <w:color w:val="auto"/>
              </w:rPr>
            </w:pPr>
          </w:p>
        </w:tc>
      </w:tr>
      <w:tr>
        <w:trPr>
          <w:trHeight w:val="234"/>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Quebec City, Canada</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Manufacturing/Warehouse/Office</w:t>
            </w: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Freight</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16"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Information with respect to material pending legal proceedings is included in Note 18 of “Notes to Consolidated Financial Statements” included in Part II, Item 8 of this report and incorporated by reference herein.</w:t>
      </w:r>
    </w:p>
    <w:p>
      <w:pPr>
        <w:spacing w:after="0" w:line="90"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27" w:right="45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50" w:lineRule="exact"/>
        <w:rPr>
          <w:sz w:val="20"/>
          <w:szCs w:val="20"/>
          <w:color w:val="auto"/>
        </w:rPr>
      </w:pPr>
    </w:p>
    <w:p>
      <w:pPr>
        <w:ind w:left="1320" w:right="1180" w:hanging="1295"/>
        <w:spacing w:after="0" w:line="239" w:lineRule="auto"/>
        <w:tabs>
          <w:tab w:leader="none" w:pos="13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99"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The Common Stock of the Company is listed on the New York Stock Exchange under the symbol “WAB.” As of February 9, 2026, there were 170,517,190 shares of Common Stock outstanding held by approximately 85,056 holders of record.</w:t>
      </w:r>
    </w:p>
    <w:p>
      <w:pPr>
        <w:spacing w:after="0" w:line="175" w:lineRule="exact"/>
        <w:rPr>
          <w:sz w:val="20"/>
          <w:szCs w:val="20"/>
          <w:color w:val="auto"/>
        </w:rPr>
      </w:pPr>
    </w:p>
    <w:p>
      <w:pPr>
        <w:ind w:right="40" w:firstLine="486"/>
        <w:spacing w:after="0" w:line="313" w:lineRule="auto"/>
        <w:rPr>
          <w:sz w:val="20"/>
          <w:szCs w:val="20"/>
          <w:color w:val="auto"/>
        </w:rPr>
      </w:pPr>
      <w:r>
        <w:rPr>
          <w:rFonts w:ascii="Times New Roman" w:cs="Times New Roman" w:eastAsia="Times New Roman" w:hAnsi="Times New Roman"/>
          <w:sz w:val="18"/>
          <w:szCs w:val="18"/>
          <w:color w:val="auto"/>
        </w:rPr>
        <w:t>The Company has historically paid quarterly dividends to shareholders, subject to quarterly approval by our Board of Directors, currently at a rate of approximately $212 million annually. The declaration and payment of future dividends are at the discretion of the Board of Directors.</w:t>
      </w:r>
    </w:p>
    <w:p>
      <w:pPr>
        <w:spacing w:after="0" w:line="162" w:lineRule="exact"/>
        <w:rPr>
          <w:sz w:val="20"/>
          <w:szCs w:val="20"/>
          <w:color w:val="auto"/>
        </w:rPr>
      </w:pPr>
    </w:p>
    <w:p>
      <w:pPr>
        <w:ind w:right="20" w:firstLine="486"/>
        <w:spacing w:after="0" w:line="242"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“soliciting material” or to be “filed” with the Securities and Exchange Commission, nor shall such information be incorporated by reference to any future filings under the Securities Act of 1933 and the Securities Exchange Act of 1934, each as amended, except to the extent that Wabtec specifically incorporates it by reference into such filing. The graph below compares the total stockholder return through December 31, 2025, of Wabtec’s common stock to (i) the S&amp;P 500, (ii) the S&amp;P 500 Industrials and, (iii) our peer group of manufacturing companies which consists of the following publicly traded companies: AGCO, AMETEK, CSX, Dover, Eaton Corporation, Emerson Electric, Illinois Tool Works, Ingersoll Rand Inc., Jacobs Solutions Inc., Norfolk Southern Corporation, Oshkosh Corporation, Parker-Hannifin Corporation, Rockwell Automation Inc., Snap-on Incorporated, Stanley Black &amp; Decker Inc., Textron, Inc., The Timken Company, The TransDigm Group, and Xylem. This graph assumes that the investment in the Company’s common stock, peer group and each index was $100 on December 31, 2020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5760720" cy="3694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0720"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 performance graph data points in dollars: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31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Westinghouse Air Brake Technologies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126.53</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137.97</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176.52</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264.98</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299.81</w:t>
            </w:r>
          </w:p>
        </w:tc>
      </w:tr>
      <w:tr>
        <w:trPr>
          <w:trHeight w:val="229"/>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Industrials (Sector) (TR)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121.12</w:t>
            </w:r>
          </w:p>
        </w:tc>
        <w:tc>
          <w:tcPr>
            <w:tcW w:w="1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114.48</w:t>
            </w:r>
          </w:p>
        </w:tc>
        <w:tc>
          <w:tcPr>
            <w:tcW w:w="1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135.24</w:t>
            </w:r>
          </w:p>
        </w:tc>
        <w:tc>
          <w:tcPr>
            <w:tcW w:w="1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158.87</w:t>
            </w:r>
          </w:p>
        </w:tc>
        <w:tc>
          <w:tcPr>
            <w:tcW w:w="1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189.72</w:t>
            </w:r>
          </w:p>
        </w:tc>
      </w:tr>
      <w:tr>
        <w:trPr>
          <w:trHeight w:val="230"/>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Index - Total Return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196.16</w:t>
            </w:r>
          </w:p>
        </w:tc>
      </w:tr>
      <w:tr>
        <w:trPr>
          <w:trHeight w:val="234"/>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125.76</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111.17</w:t>
            </w:r>
          </w:p>
        </w:tc>
        <w:tc>
          <w:tcPr>
            <w:tcW w:w="16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139.12</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159.98</w:t>
            </w:r>
          </w:p>
        </w:tc>
        <w:tc>
          <w:tcPr>
            <w:tcW w:w="16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178.86</w:t>
            </w:r>
          </w:p>
        </w:tc>
      </w:tr>
      <w:tr>
        <w:trPr>
          <w:trHeight w:val="859"/>
        </w:trPr>
        <w:tc>
          <w:tcPr>
            <w:tcW w:w="7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70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Issuer Purchases of Common Stock</w:t>
      </w:r>
    </w:p>
    <w:p>
      <w:pPr>
        <w:spacing w:after="0" w:line="31" w:lineRule="exact"/>
        <w:rPr>
          <w:sz w:val="20"/>
          <w:szCs w:val="20"/>
          <w:color w:val="auto"/>
        </w:rPr>
      </w:pPr>
    </w:p>
    <w:tbl>
      <w:tblPr>
        <w:tblLayout w:type="fixed"/>
        <w:tblInd w:w="12" w:type="dxa"/>
        <w:tblCellMar>
          <w:top w:w="0" w:type="dxa"/>
          <w:left w:w="0" w:type="dxa"/>
          <w:bottom w:w="0" w:type="dxa"/>
          <w:right w:w="0" w:type="dxa"/>
        </w:tblCellMar>
      </w:tblPr>
      <w:tr>
        <w:trPr>
          <w:trHeight w:val="131"/>
        </w:trPr>
        <w:tc>
          <w:tcPr>
            <w:tcW w:w="4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2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Maximum Dollar Value</w:t>
            </w:r>
          </w:p>
        </w:tc>
        <w:tc>
          <w:tcPr>
            <w:tcW w:w="0" w:type="dxa"/>
            <w:vAlign w:val="bottom"/>
          </w:tcPr>
          <w:p>
            <w:pPr>
              <w:spacing w:after="0"/>
              <w:rPr>
                <w:sz w:val="1"/>
                <w:szCs w:val="1"/>
                <w:color w:val="auto"/>
              </w:rPr>
            </w:pPr>
          </w:p>
        </w:tc>
      </w:tr>
      <w:tr>
        <w:trPr>
          <w:trHeight w:val="146"/>
        </w:trPr>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6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 That May Yet</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1"/>
                <w:szCs w:val="11"/>
                <w:color w:val="auto"/>
              </w:rPr>
            </w:pPr>
          </w:p>
        </w:tc>
        <w:tc>
          <w:tcPr>
            <w:tcW w:w="1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6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Be Purchased Under the</w:t>
            </w:r>
          </w:p>
        </w:tc>
        <w:tc>
          <w:tcPr>
            <w:tcW w:w="0" w:type="dxa"/>
            <w:vAlign w:val="bottom"/>
          </w:tcPr>
          <w:p>
            <w:pPr>
              <w:spacing w:after="0"/>
              <w:rPr>
                <w:sz w:val="1"/>
                <w:szCs w:val="1"/>
                <w:color w:val="auto"/>
              </w:rPr>
            </w:pPr>
          </w:p>
        </w:tc>
      </w:tr>
      <w:tr>
        <w:trPr>
          <w:trHeight w:val="148"/>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260" w:type="dxa"/>
            <w:vAlign w:val="bottom"/>
          </w:tcPr>
          <w:p>
            <w:pPr>
              <w:spacing w:after="0"/>
              <w:rPr>
                <w:sz w:val="12"/>
                <w:szCs w:val="12"/>
                <w:color w:val="auto"/>
              </w:rPr>
            </w:pPr>
          </w:p>
        </w:tc>
        <w:tc>
          <w:tcPr>
            <w:tcW w:w="136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198"/>
        </w:trPr>
        <w:tc>
          <w:tcPr>
            <w:tcW w:w="4320" w:type="dxa"/>
            <w:vAlign w:val="bottom"/>
            <w:gridSpan w:val="2"/>
            <w:vMerge w:val="continue"/>
          </w:tcPr>
          <w:p>
            <w:pPr>
              <w:spacing w:after="0"/>
              <w:rPr>
                <w:sz w:val="17"/>
                <w:szCs w:val="17"/>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7"/>
                <w:szCs w:val="17"/>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260" w:type="dxa"/>
            <w:vAlign w:val="bottom"/>
          </w:tcPr>
          <w:p>
            <w:pPr>
              <w:spacing w:after="0"/>
              <w:rPr>
                <w:sz w:val="17"/>
                <w:szCs w:val="17"/>
                <w:color w:val="auto"/>
              </w:rPr>
            </w:pPr>
          </w:p>
        </w:tc>
        <w:tc>
          <w:tcPr>
            <w:tcW w:w="136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0" w:type="dxa"/>
            <w:vAlign w:val="bottom"/>
          </w:tcPr>
          <w:p>
            <w:pPr>
              <w:spacing w:after="0"/>
              <w:rPr>
                <w:sz w:val="1"/>
                <w:szCs w:val="1"/>
                <w:color w:val="auto"/>
              </w:rPr>
            </w:pPr>
          </w:p>
        </w:tc>
      </w:tr>
      <w:tr>
        <w:trPr>
          <w:trHeight w:val="228"/>
        </w:trPr>
        <w:tc>
          <w:tcPr>
            <w:tcW w:w="4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2025</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197.01</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2025</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295,761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202.87</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295,761</w:t>
            </w:r>
          </w:p>
        </w:tc>
        <w:tc>
          <w:tcPr>
            <w:tcW w:w="100" w:type="dxa"/>
            <w:vAlign w:val="bottom"/>
          </w:tcPr>
          <w:p>
            <w:pPr>
              <w:spacing w:after="0"/>
              <w:rPr>
                <w:sz w:val="19"/>
                <w:szCs w:val="19"/>
                <w:color w:val="auto"/>
              </w:rPr>
            </w:pPr>
          </w:p>
        </w:tc>
        <w:tc>
          <w:tcPr>
            <w:tcW w:w="2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2025</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quarter ended December 31, 2025</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371,898</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12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371,898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52" w:right="40" w:hanging="652"/>
        <w:spacing w:after="0" w:line="245" w:lineRule="auto"/>
        <w:tabs>
          <w:tab w:leader="none" w:pos="38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approximately $777 million was remaining under the Company's stock repurchase plan. On February 6, 2026, the Board of Directors reauthorized the stock repurchase program and refreshed the amount available for stock repurchases to $1.2 billion of the Company’s outstanding shares. This new stock repurchase authorization supersedes the previous authorization of $1.0 billion, of which approximately $760 million remained at the reauthorization date. No time limit was set for the completion of the program, which conforms to the requirements under the agreements governing the Company's credit facilities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w:t>
      </w:r>
    </w:p>
    <w:p>
      <w:pPr>
        <w:spacing w:after="0" w:line="110" w:lineRule="exact"/>
        <w:rPr>
          <w:sz w:val="20"/>
          <w:szCs w:val="20"/>
          <w:color w:val="auto"/>
        </w:rPr>
      </w:pPr>
    </w:p>
    <w:p>
      <w:pPr>
        <w:ind w:left="12"/>
        <w:spacing w:after="0"/>
        <w:tabs>
          <w:tab w:leader="none" w:pos="1292"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386" w:right="359" w:bottom="1440" w:gutter="0" w:footer="0" w:header="0"/>
        </w:sectPr>
      </w:pPr>
    </w:p>
    <w:bookmarkStart w:id="25" w:name="page26"/>
    <w:bookmarkEnd w:id="25"/>
    <w:p>
      <w:pPr>
        <w:ind w:left="1320" w:right="1820" w:hanging="1295"/>
        <w:spacing w:after="0" w:line="239" w:lineRule="auto"/>
        <w:tabs>
          <w:tab w:leader="none" w:pos="13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Wabtec is a global provider of value-added, technology-based locomotives, equipment, systems and services for the freight rail and passenger transit industries, as well as the mining, marine, and industrial markets and applications. Our highly engineered rail and transit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2025, approximately half of the Company’s Net sales came from customers outside the United States.</w:t>
      </w:r>
    </w:p>
    <w:p>
      <w:pPr>
        <w:spacing w:after="0" w:line="7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Wabtec’s long-term financial goals are to increase revenues through a focused growth strategy, including product innovation and new technologies, global and market expansion, aftermarket products and services, and strategic acquisitions, to increase margins through strict attention to cost controls, to drive improved efficiencies across the business, to drive strong cash flow conversion, and to maintain a strong credit profile while minimizing our overall cost of capital. In addition, Management evaluates the Company’s current operational performance through measures such as safety, quality and on-time delivery.</w:t>
      </w:r>
    </w:p>
    <w:p>
      <w:pPr>
        <w:spacing w:after="0" w:line="75"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The Company primarily serves the worldwide freight and transit rail industries. Our operating results are largely dependent on the level of activity, financial condition and capital spending plans of railroads and passenger transit agencies around the world, and transportation equipment manufacturers who serve those markets. Many factors influence these industries, including general economic conditions; traffic volumes, as measured by freight carloads and passenger ridership; number of locomotives and railcars in operation; government spending on public transportation; and investment in new technologies. In general, trends such as urbanization and growth in developing markets, sustainability and environmental awareness, investment in technology solutions, an aging equipment fleet, and growth in global trade are expected to drive continued investment in freight rail and passenger transit.</w:t>
      </w:r>
    </w:p>
    <w:p>
      <w:pPr>
        <w:spacing w:after="0" w:line="79" w:lineRule="exact"/>
        <w:rPr>
          <w:sz w:val="20"/>
          <w:szCs w:val="20"/>
          <w:color w:val="auto"/>
        </w:rPr>
      </w:pPr>
    </w:p>
    <w:p>
      <w:pPr>
        <w:jc w:val="both"/>
        <w:ind w:right="380" w:firstLine="486"/>
        <w:spacing w:after="0" w:line="266" w:lineRule="auto"/>
        <w:rPr>
          <w:sz w:val="20"/>
          <w:szCs w:val="20"/>
          <w:color w:val="auto"/>
        </w:rPr>
      </w:pPr>
      <w:r>
        <w:rPr>
          <w:rFonts w:ascii="Times New Roman" w:cs="Times New Roman" w:eastAsia="Times New Roman" w:hAnsi="Times New Roman"/>
          <w:sz w:val="18"/>
          <w:szCs w:val="18"/>
          <w:color w:val="auto"/>
        </w:rPr>
        <w:t>The Company monitors a variety of factors and statistics to gauge market activity. Freight rail markets around the world are driven primarily by overall economic conditions and activity, while Transit markets are driven primarily by government funding and passenger ridership. Changes in these market drivers can cause fluctuations in demand for Wabtec's products and services.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Update</w:t>
      </w:r>
    </w:p>
    <w:p>
      <w:pPr>
        <w:spacing w:after="0" w:line="11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During the fourth quarter of 2025, Wabtec signed $2.2 billion in new locomotive orders in North America, which included $1.3 billion for locomotive modernizations and $0.9 billion for new locomotives. Also during the fourth quarter, Digital Intelligence secured $75 million of PTC and KinetiX orders in key international markets. In the third quarter of 2025, Wabtec announced an agreement with National Company Kazakhstan Temir Zholy ("KTZ"), the national railway of Kazakhstan, to deliver Evolution Series locomotives and provide long-term service support. The multi-national order, valued by the Company at approximately $4.2 billion, marks the largest locomotive agreement in Wabtec's history. Wabtec also continued to drive recurring revenue in the global market by winning a new service contract in Kazakhstan worth $299 million earlier in 2025. Additionally in the Freight Segment, the first Simandou locomotives reached Guinea, marking the first exports from the Company's India locomotive facility. We also signed a $140 million new locomotive order with a North American Class I railroad, signed new locomotive, mining and service orders in the Asia-Pacific region totaling $127 million, and signed a $125 million ultra class mining order.</w:t>
      </w:r>
    </w:p>
    <w:p>
      <w:pPr>
        <w:spacing w:after="0" w:line="80"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During 2025, the Transit Segment signed $140 million in new Transit brake orders, two multi-year transit platform door contracts valued at $85 million and a $47 million order to provide brakes and couplers for servicing a North American customer, among many other orders.</w:t>
      </w:r>
    </w:p>
    <w:p>
      <w:pPr>
        <w:spacing w:after="0" w:line="54"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In March of 2025, Moody's upgraded the Senior Notes ratings to Baa2 from Baa3 and changed the outlook to stable from positive, and S&amp;P Global Ratings reaffirmed Wabtec's credit rating at BBB with a stable outlook.</w:t>
      </w:r>
    </w:p>
    <w:p>
      <w:pPr>
        <w:spacing w:after="0" w:line="54" w:lineRule="exact"/>
        <w:rPr>
          <w:sz w:val="20"/>
          <w:szCs w:val="20"/>
          <w:color w:val="auto"/>
        </w:rPr>
      </w:pPr>
    </w:p>
    <w:p>
      <w:pPr>
        <w:jc w:val="both"/>
        <w:ind w:right="180" w:firstLine="486"/>
        <w:spacing w:after="0" w:line="272" w:lineRule="auto"/>
        <w:rPr>
          <w:sz w:val="20"/>
          <w:szCs w:val="20"/>
          <w:color w:val="auto"/>
        </w:rPr>
      </w:pPr>
      <w:r>
        <w:rPr>
          <w:rFonts w:ascii="Times New Roman" w:cs="Times New Roman" w:eastAsia="Times New Roman" w:hAnsi="Times New Roman"/>
          <w:sz w:val="17"/>
          <w:szCs w:val="17"/>
          <w:color w:val="auto"/>
        </w:rPr>
        <w:t>In February 2025, Wabtec announced Integration 3.0, a three-year strategic initiative to target incremental run rate synergies currently estimated to be between $115 million to $140 million by 2028. The scope of the review includes consolidating our footprint via value chain improvement and facility rationalization, reducing headcount, expanding operating capacity in low-cost countries, and streamlining administrative and commercial activities.</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Management will also consider additional capital investments to further simplify and streamline the business. The Company anticipates that it will incur charges of approximately $125 million to $155 million related to this initiative, of which approximately $80 million to $100 million are expected to be one-time restructuring charges. Estimates for this program could change based on the specific programs approved or changes to the scope of the review. In addition to Integration 3.0, there are other ongoing restructuring initiatives, including Portfolio Optimization and Integration 2.0, focused on driving operational efficiency and improving</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6" w:name="page27"/>
    <w:bookmarkEnd w:id="26"/>
    <w:p>
      <w:pPr>
        <w:ind w:right="240"/>
        <w:spacing w:after="0" w:line="282" w:lineRule="auto"/>
        <w:rPr>
          <w:sz w:val="20"/>
          <w:szCs w:val="20"/>
          <w:color w:val="auto"/>
        </w:rPr>
      </w:pPr>
      <w:r>
        <w:rPr>
          <w:rFonts w:ascii="Times New Roman" w:cs="Times New Roman" w:eastAsia="Times New Roman" w:hAnsi="Times New Roman"/>
          <w:sz w:val="18"/>
          <w:szCs w:val="18"/>
          <w:color w:val="auto"/>
        </w:rPr>
        <w:t>profitability while reducing manufacturing complexity. For the years ended December 31, 2025 and 2024, Wabtec incurred $75 million and $65 million, respectively, of restructuring costs primarily for employee-related costs and asset write downs on programs under these initiatives.</w:t>
      </w:r>
    </w:p>
    <w:p>
      <w:pPr>
        <w:spacing w:after="0" w:line="54"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Future macroeconomic volatility, changes to tariffs and trade policies, supply chain disruptions, and labor availability, amongst other things, could cause a negative impact on revenue and cost increases resulting in an adverse effect on the Company’s operating results. Additionally, broad-based inflation, metals, energy and other commodity costs, transportation and logistics costs, labor costs, and foreign currency exchange rate fluctuations all continue to impact our results. The Company utilizes various mitigating actions intended to lessen the impact of macroeconomic volatility, including the impact of current tariffs. These actions include implementing price escalations and surcharges, driving operational efficiencies through various cost mitigation efforts and discretionary spend management, strategically sourcing materials, reviewing and modifying distribution logistics, and accelerating integration synergies through our restructuring programs. The Company has experienced increased tariff costs which unfavorably impacted our cash from operations for the year ended December 31, 2025. Although we did not experience a material impact to our results of operations in 2025 because of mitigation efforts, due to the volatility of trade policies, we are unable to reasonably predict the future impact.</w:t>
      </w:r>
    </w:p>
    <w:p>
      <w:pPr>
        <w:spacing w:after="0" w:line="80"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Management determined that certain businesses within the Services product line would be better aligned with Management oversight in the Components product line. As such, Sales by product line for 2024 and 2023 have been recast to conform to the current period presentation. These changes were within the Freight Segment and had no impact on Total Freight Segment Sales, Gross profit, or Income from operations.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On July 1, 2025, the Company acquired Inspection Technologies for approximately $1.788 billion. Inspection Technologies was formerly part of the Scientific Solutions Division of Olympus Corporation, a global leader in nondestructive testing, remote visual inspection and analytical instruments solutions for mission critical assets. On December 1, 2025, the Company acquired Frauscher, a global market leader in train detection, wayside object control solutions and axle counting systems, for approximately $792 million. Also during 2025, the Freight Segment completed two additional acquisitions which were individually and collectively immaterial.</w:t>
      </w:r>
    </w:p>
    <w:p>
      <w:pPr>
        <w:spacing w:after="0" w:line="75"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Also during the first quarter of 2025, Wabtec announced a definitive agreement to acquire Dellner Couplers, a global leader in highly engineered safety-critical train connection systems and services for passenger rail rolling stock, for approximately €890 million. The acquisition subsequently closed on February 10, 2026.</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Transaction costs incurred for the year ended December 31, 2025 related to completed and announced acquisitions were approximately $49 million.</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2024, the Company made four strategic acquisitions for a combined purchase price of approximately $168 million, net of cash acquired. Two of the acquisitions are reported in the Transit Segment, one is reported in the Digital Intelligence product line of the Freight Segment and one is reported in the Components product line of the Freight Segment. Each of the acquisitions in 2024 are individually and collectively immaterial.</w:t>
      </w:r>
    </w:p>
    <w:p>
      <w:pPr>
        <w:spacing w:after="0" w:line="68"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During the fourth quarter of 2023, the Company purchased the remaining ownership shares of Locomotiv Kurastyru Zuayty ("LKZ"), a locomotive manufacturing and assembly company located in Kazakhstan for $111 million, at which time it became a wholly owned subsidiary of the Company. Prior to this purchase, Wabtec owned 50% of LKZ as a joint venture partner and accounted for its interest as an equity method investment. During the second quarter of 2023, the Company acquired L&amp;M Radiator, Inc., a leading manufacturer of heavy-duty equipment radiators and heat exchangers for the mining sector, for a purchase price of approximately $245 million. For additional information related to these acquisitions refer to Note 3 of "Notes to Consolidated Financial Statements" included in Part II, Item 8 of this report.</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2025 COMPARED TO 2024</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our Consolidated Statements of Operations for the years indicated.</w:t>
      </w:r>
    </w:p>
    <w:p>
      <w:pPr>
        <w:spacing w:after="0" w:line="52"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19"/>
              <w:spacing w:after="0" w:line="161"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19"/>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Sales of goods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8,434</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w:t>
            </w:r>
          </w:p>
        </w:tc>
      </w:tr>
      <w:tr>
        <w:trPr>
          <w:trHeight w:val="207"/>
        </w:trPr>
        <w:tc>
          <w:tcPr>
            <w:tcW w:w="20" w:type="dxa"/>
            <w:vAlign w:val="bottom"/>
          </w:tcPr>
          <w:p>
            <w:pPr>
              <w:spacing w:after="0"/>
              <w:rPr>
                <w:sz w:val="17"/>
                <w:szCs w:val="17"/>
                <w:color w:val="auto"/>
              </w:rPr>
            </w:pPr>
          </w:p>
        </w:tc>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Net sales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10,387</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Cost of goods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(5,918)</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r>
      <w:tr>
        <w:trPr>
          <w:trHeight w:val="207"/>
        </w:trPr>
        <w:tc>
          <w:tcPr>
            <w:tcW w:w="20" w:type="dxa"/>
            <w:vAlign w:val="bottom"/>
            <w:tcBorders>
              <w:bottom w:val="single" w:sz="8" w:color="CCEEFF"/>
            </w:tcBorders>
          </w:tcPr>
          <w:p>
            <w:pPr>
              <w:spacing w:after="0"/>
              <w:rPr>
                <w:sz w:val="17"/>
                <w:szCs w:val="17"/>
                <w:color w:val="auto"/>
              </w:rPr>
            </w:pPr>
          </w:p>
        </w:tc>
        <w:tc>
          <w:tcPr>
            <w:tcW w:w="80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Total Cost of sales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(7,021)</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w:t>
            </w:r>
          </w:p>
        </w:tc>
      </w:tr>
      <w:tr>
        <w:trPr>
          <w:trHeight w:val="213"/>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r>
      <w:tr>
        <w:trPr>
          <w:trHeight w:val="213"/>
        </w:trPr>
        <w:tc>
          <w:tcPr>
            <w:tcW w:w="20" w:type="dxa"/>
            <w:vAlign w:val="bottom"/>
          </w:tcPr>
          <w:p>
            <w:pPr>
              <w:spacing w:after="0"/>
              <w:rPr>
                <w:sz w:val="18"/>
                <w:szCs w:val="18"/>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Engineering expenses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07"/>
        </w:trPr>
        <w:tc>
          <w:tcPr>
            <w:tcW w:w="20" w:type="dxa"/>
            <w:vAlign w:val="bottom"/>
            <w:tcBorders>
              <w:bottom w:val="single" w:sz="8" w:color="CCEEFF"/>
            </w:tcBorders>
          </w:tcPr>
          <w:p>
            <w:pPr>
              <w:spacing w:after="0"/>
              <w:rPr>
                <w:sz w:val="17"/>
                <w:szCs w:val="17"/>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(1,757)</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from operations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w:t>
            </w:r>
          </w:p>
        </w:tc>
      </w:tr>
      <w:tr>
        <w:trPr>
          <w:trHeight w:val="213"/>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 and expenses: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3"/>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Other income, net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r>
      <w:tr>
        <w:trPr>
          <w:trHeight w:val="213"/>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Income tax expense</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r>
      <w:tr>
        <w:trPr>
          <w:trHeight w:val="213"/>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 attributable to Wabtec shareholders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major components of the change in Net sales in 2025 from 2024:</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4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Freight Segment</w:t>
            </w:r>
          </w:p>
        </w:tc>
        <w:tc>
          <w:tcPr>
            <w:tcW w:w="16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Transit Segment</w:t>
            </w:r>
          </w:p>
        </w:tc>
        <w:tc>
          <w:tcPr>
            <w:tcW w:w="340" w:type="dxa"/>
            <w:vAlign w:val="bottom"/>
          </w:tcPr>
          <w:p>
            <w:pPr>
              <w:spacing w:after="0"/>
              <w:rPr>
                <w:sz w:val="16"/>
                <w:szCs w:val="16"/>
                <w:color w:val="auto"/>
              </w:rPr>
            </w:pPr>
          </w:p>
        </w:tc>
        <w:tc>
          <w:tcPr>
            <w:tcW w:w="11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04"/>
        </w:trPr>
        <w:tc>
          <w:tcPr>
            <w:tcW w:w="20" w:type="dxa"/>
            <w:vAlign w:val="bottom"/>
            <w:shd w:val="clear" w:color="auto" w:fill="CCEEFF"/>
          </w:tcPr>
          <w:p>
            <w:pPr>
              <w:spacing w:after="0"/>
              <w:rPr>
                <w:sz w:val="24"/>
                <w:szCs w:val="24"/>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 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10,387</w:t>
            </w:r>
          </w:p>
        </w:tc>
      </w:tr>
      <w:tr>
        <w:trPr>
          <w:trHeight w:val="213"/>
        </w:trPr>
        <w:tc>
          <w:tcPr>
            <w:tcW w:w="20" w:type="dxa"/>
            <w:vAlign w:val="bottom"/>
          </w:tcPr>
          <w:p>
            <w:pPr>
              <w:spacing w:after="0"/>
              <w:rPr>
                <w:sz w:val="18"/>
                <w:szCs w:val="18"/>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Portfolio Optimization (Divestitures/Exits)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3"/>
        </w:trPr>
        <w:tc>
          <w:tcPr>
            <w:tcW w:w="20" w:type="dxa"/>
            <w:vAlign w:val="bottom"/>
          </w:tcPr>
          <w:p>
            <w:pPr>
              <w:spacing w:after="0"/>
              <w:rPr>
                <w:sz w:val="18"/>
                <w:szCs w:val="18"/>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Foreign Exchange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6"/>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Organic</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80"/>
        </w:trPr>
        <w:tc>
          <w:tcPr>
            <w:tcW w:w="20" w:type="dxa"/>
            <w:vAlign w:val="bottom"/>
          </w:tcPr>
          <w:p>
            <w:pPr>
              <w:spacing w:after="0"/>
              <w:rPr>
                <w:sz w:val="24"/>
                <w:szCs w:val="24"/>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2025 Net sales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8,036</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3,131</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11,167</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The following discussion compares our results for the year ended December 31, 2025 to the year ended December 31, 2024. The discussion comparing our results for the year ended December 31, 2024 to the year ended December 31, 2023 is included within Management's Discussion and Analysis of Financial Condition and Results of Operation in our Annual Report on Form 10-K for the year ended December 31, 2024, filed with the SEC on February 12,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Net sales for the year ended December 31, 2025 increased by $780 million, or 7.5%, to $11.17 billion compared to the same period in 2024. Organic sales increased $464 million which was attributable to both the Freight and Transit Segments. Freight sales increased primarily due to higher North American locomotive deliveries and higher parts sales. Transit sales increased from higher demand for Aftermarket and Original Equipment Manufacturing products and services driven by increased investments in sustainable infrastructure, fleet expansion and renewals and increased passenger ridership levels. Sales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8" w:name="page29"/>
    <w:bookmarkEnd w:id="28"/>
    <w:p>
      <w:pPr>
        <w:ind w:right="240"/>
        <w:spacing w:after="0" w:line="282" w:lineRule="auto"/>
        <w:rPr>
          <w:sz w:val="20"/>
          <w:szCs w:val="20"/>
          <w:color w:val="auto"/>
        </w:rPr>
      </w:pPr>
      <w:r>
        <w:rPr>
          <w:rFonts w:ascii="Times New Roman" w:cs="Times New Roman" w:eastAsia="Times New Roman" w:hAnsi="Times New Roman"/>
          <w:sz w:val="18"/>
          <w:szCs w:val="18"/>
          <w:color w:val="auto"/>
        </w:rPr>
        <w:t>from acquisitions contributed $355 million, primarily from Inspection Technologies in the Freight Segment, and favorable changes in foreign exchange increased Net sales by $33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Cost of sales for the year ended December 31, 2025 increased by $340 million, or 4.8%, to $7.36 billion compared to the same period in 2024. The increase is primarily due to the increase in Net sales. Cost of sales as a percentage of Net sales was 65.9% and 67.6% for the years ended December 31, 2025 and 2024, respectively. The improvement in gross margin is attributable to strong productivity and cost management, savings from restructuring initiatives, and the exit of low margin business offerings through Portfolio Optimization. Cost of sales for the year ended December 31, 2025 included $53 million of costs related to purchase price accounting for the step-up of Inspection Technologies and Frauscher inventories to fair value on the respective dates of acquisition. Cost of sales for the years ended December 31, 2025 and 2024 included $12 million and $37 million, respectively, of costs related to restructuring initiatives.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Total Operating expenses increased $256 million, or 14.6%, for the year ended December 31, 2025 compared to the same period in 2024. Selling, general and administrative expenses ("SG&amp;A") increased $242 million for the year ended December 31, 2025 compared to the same period in 2024. The increase is primarily from costs incurred to support the higher sales volume, transaction costs associated with completed and announced acquisitions, incremental expense from acquisitions, and higher employee compensation and benefit costs, partially offset by the impacts of restructuring initiatives. Transaction costs associated with completed and announced acquisitions included in SG&amp;A were $49 million for the year ended December 31, 2025. SG&amp;A for the year ended December 31, 2025 included $60 million of costs related to restructuring initiatives, including a $38 million loss on disposition of a business associated with Portfolio Optimization. SG&amp;A for the year ended December 31, 2024 included $18 million of costs related to restructuring initiatives. Engineering expenses increased $17 million primarily due to incremental expense from acquisitions and increased investments in new technology.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Interest expense, net, increased $24 million to $225 million for the year ended December 31, 2025 over the same period in 2024, primarily due to higher average overall debt balances in the current period, primarily related to the Inspection Technologies acquisition.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Other income, net, increased $22 million to $24 million for the year ended December 31, 2025 compared to the same period in 2024, primarily due to a $19 million net gain on mark-to-market derivatives in the current period associated with the acquisition of Frauscher and anticipated acquisition of Dellner Couplers and lower foreign exchange losses, partially offset by lower equity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 w:lineRule="exact"/>
        <w:rPr>
          <w:sz w:val="20"/>
          <w:szCs w:val="20"/>
          <w:color w:val="auto"/>
        </w:rPr>
      </w:pPr>
    </w:p>
    <w:p>
      <w:pPr>
        <w:ind w:right="100" w:firstLine="486"/>
        <w:spacing w:after="0" w:line="238" w:lineRule="auto"/>
        <w:rPr>
          <w:sz w:val="20"/>
          <w:szCs w:val="20"/>
          <w:color w:val="auto"/>
        </w:rPr>
      </w:pPr>
      <w:r>
        <w:rPr>
          <w:rFonts w:ascii="Times New Roman" w:cs="Times New Roman" w:eastAsia="Times New Roman" w:hAnsi="Times New Roman"/>
          <w:sz w:val="18"/>
          <w:szCs w:val="18"/>
          <w:color w:val="auto"/>
        </w:rPr>
        <w:t>The effective income tax rate was 25.7% and 24.3% for the years ended December 31, 2025 and 2024, respectively. The year over year increase in the effective tax rate was primarily driven by changes in jurisdictional mix of earnings and the non-deductible loss generated from the divestiture of a business as part of the Portfolio Optimization initiative. See Note 11 of "Notes to Consolidated Financial Statements" included in Part II, Item 8 of this report for additional information.</w:t>
      </w: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99"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Freight Segment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our Consolidated Statements of Operations for our Freight Segment for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46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3"/>
                <w:szCs w:val="13"/>
                <w:color w:val="auto"/>
              </w:rPr>
            </w:pPr>
          </w:p>
        </w:tc>
        <w:tc>
          <w:tcPr>
            <w:tcW w:w="1580" w:type="dxa"/>
            <w:vAlign w:val="bottom"/>
            <w:tcBorders>
              <w:top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6"/>
                <w:szCs w:val="16"/>
                <w:b w:val="1"/>
                <w:bCs w:val="1"/>
                <w:color w:val="auto"/>
              </w:rPr>
              <w:t>% Change</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Sales of goods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6,137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5,524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11.1 %</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of services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7"/>
        </w:trPr>
        <w:tc>
          <w:tcPr>
            <w:tcW w:w="20" w:type="dxa"/>
            <w:vAlign w:val="bottom"/>
          </w:tcPr>
          <w:p>
            <w:pPr>
              <w:spacing w:after="0"/>
              <w:rPr>
                <w:sz w:val="17"/>
                <w:szCs w:val="17"/>
                <w:color w:val="auto"/>
              </w:rPr>
            </w:pPr>
          </w:p>
        </w:tc>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Net sales</w:t>
            </w:r>
          </w:p>
        </w:tc>
        <w:tc>
          <w:tcPr>
            <w:tcW w:w="30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Cost of goods</w:t>
            </w:r>
          </w:p>
        </w:tc>
        <w:tc>
          <w:tcPr>
            <w:tcW w:w="30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services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07"/>
        </w:trPr>
        <w:tc>
          <w:tcPr>
            <w:tcW w:w="20" w:type="dxa"/>
            <w:vAlign w:val="bottom"/>
            <w:tcBorders>
              <w:bottom w:val="single" w:sz="8" w:color="CCEEFF"/>
            </w:tcBorders>
          </w:tcPr>
          <w:p>
            <w:pPr>
              <w:spacing w:after="0"/>
              <w:rPr>
                <w:sz w:val="17"/>
                <w:szCs w:val="17"/>
                <w:color w:val="auto"/>
              </w:rPr>
            </w:pPr>
          </w:p>
        </w:tc>
        <w:tc>
          <w:tcPr>
            <w:tcW w:w="46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Total Cost of sales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(5,201)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(4,945)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4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5.2 %</w:t>
            </w:r>
          </w:p>
        </w:tc>
      </w:tr>
      <w:tr>
        <w:trPr>
          <w:trHeight w:val="212"/>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Cost of sales (% of Net sales)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64.7 %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66.2 %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(1.5)</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16"/>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12.4 %</w:t>
            </w: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13"/>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(1,101)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4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15.2 %</w:t>
            </w:r>
          </w:p>
        </w:tc>
      </w:tr>
      <w:tr>
        <w:trPr>
          <w:trHeight w:val="131"/>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 ($)</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from operations (% of Net sales)</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19.0 %</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major components of the change in Net sales for the Freight Segment in 2025 from 2024:</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9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 Net sales</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7,468</w:t>
            </w:r>
          </w:p>
        </w:tc>
      </w:tr>
      <w:tr>
        <w:trPr>
          <w:trHeight w:val="213"/>
        </w:trPr>
        <w:tc>
          <w:tcPr>
            <w:tcW w:w="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Portfolio Optimization (Divestitures/Exits)</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3"/>
        </w:trPr>
        <w:tc>
          <w:tcPr>
            <w:tcW w:w="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Foreign Exchange</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Net sales by Product Line:</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9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Equipment</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3"/>
        </w:trPr>
        <w:tc>
          <w:tcPr>
            <w:tcW w:w="20" w:type="dxa"/>
            <w:vAlign w:val="bottom"/>
          </w:tcPr>
          <w:p>
            <w:pPr>
              <w:spacing w:after="0"/>
              <w:rPr>
                <w:sz w:val="18"/>
                <w:szCs w:val="18"/>
                <w:color w:val="auto"/>
              </w:rPr>
            </w:pPr>
          </w:p>
        </w:tc>
        <w:tc>
          <w:tcPr>
            <w:tcW w:w="9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Components</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20" w:type="dxa"/>
            <w:vAlign w:val="bottom"/>
            <w:shd w:val="clear" w:color="auto" w:fill="CCEEFF"/>
          </w:tcPr>
          <w:p>
            <w:pPr>
              <w:spacing w:after="0"/>
              <w:rPr>
                <w:sz w:val="18"/>
                <w:szCs w:val="18"/>
                <w:color w:val="auto"/>
              </w:rPr>
            </w:pPr>
          </w:p>
        </w:tc>
        <w:tc>
          <w:tcPr>
            <w:tcW w:w="9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Digital Intelligence</w:t>
            </w: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2"/>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2025 Net sales</w:t>
            </w: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8,036</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Freight Segment organic sales increased by $307 million driven primarily by Equipment sales from higher North American locomotive deliveries and Services sales from higher parts sales. Components sales were flat as higher sales of industrial products were offset by decreased rail car build in North America. This was partially offset by decreased Digital Intelligence sales, attributable to softness in the North American market. Sales from acquisitions contributed $328 million, primarily from Inspection Technologies, and unfavorable changes in foreign exchange decreased sales by $31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2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Freight Segment Cost of sales increased $256 million from higher sales volume, and Cost of sales as a percentage of Net sales decreased 1.5 percentage points. The improvement in gross margin is attributable to strong productivity and cost management, savings from restructuring initiatives and the exit of low margin business offerings through Portfolio Optimization. Cost of sales for the year ended December 31, 2025 included $53 million of costs related to purchase price accounting for the step-up of Inspection Technologies and Frauscher inventories to fair value on the respective dates of acquisition. Cost of sales for the years ended December 31, 2025 and 2024 included $6 million and $18 million, respectively, of costs related to restructuring initiatives.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Freight Segment Operating expenses increased by $167 million, and operating expenses as a percentage of sales increased 1.1 percentage points, of which $134 million was related to incremental expense from acquisitions. Freight SG&amp;A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0" w:name="page31"/>
    <w:bookmarkEnd w:id="30"/>
    <w:p>
      <w:pPr>
        <w:spacing w:after="0" w:line="261" w:lineRule="auto"/>
        <w:rPr>
          <w:sz w:val="20"/>
          <w:szCs w:val="20"/>
          <w:color w:val="auto"/>
        </w:rPr>
      </w:pPr>
      <w:r>
        <w:rPr>
          <w:rFonts w:ascii="Times New Roman" w:cs="Times New Roman" w:eastAsia="Times New Roman" w:hAnsi="Times New Roman"/>
          <w:sz w:val="18"/>
          <w:szCs w:val="18"/>
          <w:color w:val="auto"/>
        </w:rPr>
        <w:t>expenses for the year ended December 31, 2025 included $47 million of costs related to restructuring initiatives, including a $38 million loss on disposition of a business associated with Portfolio Optimization. Freight SG&amp;A expenses for the year ended December 31, 2024 included $3 million of costs related to restructuring initiatives. SG&amp;A expenses also increased due to higher costs to support increased sales volume and higher employee compensation and benefit costs.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Transit Segment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our Consolidated Statements of Operations for our Transit Segment for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47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3"/>
                <w:szCs w:val="13"/>
                <w:color w:val="auto"/>
              </w:rPr>
            </w:pPr>
          </w:p>
        </w:tc>
        <w:tc>
          <w:tcPr>
            <w:tcW w:w="1600" w:type="dxa"/>
            <w:vAlign w:val="bottom"/>
            <w:tcBorders>
              <w:top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6"/>
                <w:szCs w:val="16"/>
                <w:b w:val="1"/>
                <w:bCs w:val="1"/>
                <w:color w:val="auto"/>
              </w:rPr>
              <w:t>% Change</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213"/>
        </w:trPr>
        <w:tc>
          <w:tcPr>
            <w:tcW w:w="20" w:type="dxa"/>
            <w:vAlign w:val="bottom"/>
            <w:tcBorders>
              <w:bottom w:val="single" w:sz="8" w:color="CCEEFF"/>
            </w:tcBorders>
          </w:tcPr>
          <w:p>
            <w:pPr>
              <w:spacing w:after="0"/>
              <w:rPr>
                <w:sz w:val="18"/>
                <w:szCs w:val="18"/>
                <w:color w:val="auto"/>
              </w:rPr>
            </w:pPr>
          </w:p>
        </w:tc>
        <w:tc>
          <w:tcPr>
            <w:tcW w:w="4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(2,076)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12"/>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Cost of sales (% of Net sales)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69.0 %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71.1 %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(2.1)</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15.2 %</w:t>
            </w: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13"/>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r>
      <w:tr>
        <w:trPr>
          <w:trHeight w:val="131"/>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 ($)</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from operations (% of Net sales)</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major components of the change in Net sales for the Transit Segment in 2025 from 2024:</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9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 Net sales</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w:t>
            </w:r>
          </w:p>
        </w:tc>
      </w:tr>
      <w:tr>
        <w:trPr>
          <w:trHeight w:val="213"/>
        </w:trPr>
        <w:tc>
          <w:tcPr>
            <w:tcW w:w="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Portfolio Optimization (Divestitures/Exits)</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3"/>
        </w:trPr>
        <w:tc>
          <w:tcPr>
            <w:tcW w:w="20" w:type="dxa"/>
            <w:vAlign w:val="bottom"/>
          </w:tcPr>
          <w:p>
            <w:pPr>
              <w:spacing w:after="0"/>
              <w:rPr>
                <w:sz w:val="18"/>
                <w:szCs w:val="18"/>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Foreign Exchange</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Net sales by Product Line:</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9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Original Equipment Manufacturing</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6"/>
        </w:trPr>
        <w:tc>
          <w:tcPr>
            <w:tcW w:w="20" w:type="dxa"/>
            <w:vAlign w:val="bottom"/>
            <w:shd w:val="clear" w:color="auto" w:fill="CCEEFF"/>
          </w:tcPr>
          <w:p>
            <w:pPr>
              <w:spacing w:after="0"/>
              <w:rPr>
                <w:sz w:val="18"/>
                <w:szCs w:val="18"/>
                <w:color w:val="auto"/>
              </w:rPr>
            </w:pPr>
          </w:p>
        </w:tc>
        <w:tc>
          <w:tcPr>
            <w:tcW w:w="9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Aftermarket</w:t>
            </w: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2"/>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2025 Net sales</w:t>
            </w: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3,131</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Transit Segment organic sales increased $157 million driven by strong Aftermarket and Original Equipment Manufacturing sales primarily as a result of increased demand for products and services due to fleet expansion and renewals, increased passenger ridership levels and increased investments in sustainable infrastructure. Sales from acquisitions contributed $27 million, and favorable changes in foreign exchange rates increased sales by $64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Transit Segment Cost of sales increased by $84 million primarily from higher sales volume, and Cost of sales as a percentage of Net sales decreased by 2.1 percentage points. The increase in gross margin is primarily attributable to favorable mix within the Transit Segment, increased productivity and the benefits from Integration 2.0 and 3.0 and Portfolio Optimization. Transit Cost of sales for the years ended December 31, 2025 and 2024 included $6 million and $19 million, respectively, of costs related to restructuring initiatives.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jc w:val="both"/>
        <w:ind w:right="160" w:firstLine="486"/>
        <w:spacing w:after="0" w:line="261" w:lineRule="auto"/>
        <w:rPr>
          <w:sz w:val="20"/>
          <w:szCs w:val="20"/>
          <w:color w:val="auto"/>
        </w:rPr>
      </w:pPr>
      <w:r>
        <w:rPr>
          <w:rFonts w:ascii="Times New Roman" w:cs="Times New Roman" w:eastAsia="Times New Roman" w:hAnsi="Times New Roman"/>
          <w:sz w:val="18"/>
          <w:szCs w:val="18"/>
          <w:color w:val="auto"/>
        </w:rPr>
        <w:t>Transit Segment Operating expenses increased by $44 million and as a percentage of sales increased 0.2 percentage points. The increase in SG&amp;A expenses was primarily to support higher sales volume and higher employee compensation and benefit costs, partially offset by benefits from Integration 2.0 and 3.0. Transit SG&amp;A expenses for the years ended December 31, 2025 and 2024 included $11 million and $13 million, respectively, of costs related to restructuring initiatives. Transit Segment Engineering expenses increased by $11 million due to increased investments in new technology.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Liquidity is provided by operating cash flows, borrowings under our credit facilities, and proceeds from the Company's Senior Notes. Additionally, the Company utilizes the Revolving Receivables Program and supply chain financing program described below, as well as other short-term financing agreements with certain banks, for added flexibility as part of our liquidity management strategy. The following is a summary of selected cash flow information and other relevant data:</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8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4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60" w:type="dxa"/>
            <w:vAlign w:val="bottom"/>
          </w:tcPr>
          <w:p>
            <w:pPr>
              <w:spacing w:after="0"/>
              <w:rPr>
                <w:sz w:val="16"/>
                <w:szCs w:val="16"/>
                <w:color w:val="auto"/>
              </w:rPr>
            </w:pPr>
          </w:p>
        </w:tc>
        <w:tc>
          <w:tcPr>
            <w:tcW w:w="116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for):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4"/>
        </w:trPr>
        <w:tc>
          <w:tcPr>
            <w:tcW w:w="20" w:type="dxa"/>
            <w:vAlign w:val="bottom"/>
          </w:tcPr>
          <w:p>
            <w:pPr>
              <w:spacing w:after="0"/>
              <w:rPr>
                <w:sz w:val="20"/>
                <w:szCs w:val="20"/>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r>
    </w:tbl>
    <w:p>
      <w:pPr>
        <w:spacing w:after="0" w:line="216" w:lineRule="exact"/>
        <w:rPr>
          <w:sz w:val="20"/>
          <w:szCs w:val="20"/>
          <w:color w:val="auto"/>
        </w:rPr>
      </w:pPr>
    </w:p>
    <w:p>
      <w:pPr>
        <w:ind w:right="160" w:firstLine="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In 2025, cash provided by operating activities was $1,759 million compared to $1,834 million in 2024. Significant changes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sources and (uses) of cash for the twelve month periods include the following:</w:t>
      </w:r>
    </w:p>
    <w:p>
      <w:pPr>
        <w:spacing w:after="0" w:line="51" w:lineRule="exact"/>
        <w:rPr>
          <w:sz w:val="20"/>
          <w:szCs w:val="20"/>
          <w:color w:val="auto"/>
        </w:rPr>
      </w:pP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 million from increased Net income;</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million from changes in inventory due to increased raw material costs, tariffs and in support of higher sales;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million from changes in employee related benefit payments; and,</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million from changes in accounts payable due to the timing of payments.</w:t>
      </w:r>
    </w:p>
    <w:p>
      <w:pPr>
        <w:spacing w:after="0" w:line="113"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In 2025 and 2024, cash used for investing activities was $(2,747) million and $(343) million, respectively. During 2025, Wabtec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acquired Inspection Technologies for net cash of approximately $(1,729) million and Frauscher for net cash of approximately $(765) million. During 2025, Wabtec also used $(260) million for additions to property, plant and equipment for investments in our facilities and manufacturing processes, made two additional strategic acquisitions for net cash of $(26) million and received $20 million upon settlement of foreign currency contracts associated with the Frauscher acquisition. During 2024, Wabtec made four strategic acquisitions for net cash of $(168) million. During 2024, Wabtec also used $(207) million for additions to property, plant and equipment, received $19 million of net proceeds from dispositions of businesses, and received $13 million of proceeds from disposals of property, plant and equipment.</w:t>
      </w:r>
    </w:p>
    <w:p>
      <w:pPr>
        <w:spacing w:after="0" w:line="75" w:lineRule="exact"/>
        <w:rPr>
          <w:sz w:val="20"/>
          <w:szCs w:val="20"/>
          <w:color w:val="auto"/>
        </w:rPr>
      </w:pPr>
    </w:p>
    <w:p>
      <w:pPr>
        <w:ind w:right="12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In 2025, cash provided by financing activities was $1,031 million, which included $1,484 million from net changes in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$(223) million of stock repurchases, $(173) million of dividend payments, $(40) million of payments for income tax withholding on share-based compensation, and $(6) million of distributions to noncontrolling interest. In 2024, cash used for financing activities was $(1,371) million, which included $(64) million from net changes in debt, $(1,097) million of stock repurchases, $(140) million of dividend payments, $(42) million of contingent consideration payments related to the GE Transportation acquisition, $(25) million of payments for income tax withholding on share-based compensation, and $(6) million of distributions to noncontrolling interest.</w:t>
      </w:r>
    </w:p>
    <w:p>
      <w:pPr>
        <w:spacing w:after="0" w:line="78"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During the fourth quarter of 2025, the Company entered into the 2025 Term Credit Agreement for a term loan of $500 million, which was utilized for general corporate purposes, including as part of funding for the Frauscher acquisition.</w:t>
      </w:r>
    </w:p>
    <w:p>
      <w:pPr>
        <w:spacing w:after="0" w:line="54" w:lineRule="exact"/>
        <w:rPr>
          <w:sz w:val="20"/>
          <w:szCs w:val="20"/>
          <w:color w:val="auto"/>
        </w:rPr>
      </w:pPr>
    </w:p>
    <w:p>
      <w:pPr>
        <w:ind w:right="100" w:firstLine="486"/>
        <w:spacing w:after="0" w:line="277" w:lineRule="auto"/>
        <w:rPr>
          <w:sz w:val="20"/>
          <w:szCs w:val="20"/>
          <w:color w:val="auto"/>
        </w:rPr>
      </w:pPr>
      <w:r>
        <w:rPr>
          <w:rFonts w:ascii="Times New Roman" w:cs="Times New Roman" w:eastAsia="Times New Roman" w:hAnsi="Times New Roman"/>
          <w:sz w:val="17"/>
          <w:szCs w:val="17"/>
          <w:color w:val="auto"/>
        </w:rPr>
        <w:t>During the second quarter of 2025, the Company entered into the 2025 Credit Agreement, which amended and restated the 2022 Credit Agreement and refinanced the 2024 Credit Agreement. The 2025 Credit Agreement increased the amount available under the Revolving Credit Facility to $2.0 billion and provided a Term Loan Facility of $725 million. The Term Loan Facility was utilized to refinance (i) $250 million of the outstanding Delayed Draw Term Loan under the 2022 Credit Agreement and (ii) $225 million of the outstanding term loan under the 2024 Credit Agreement. During the third quarter of 2025, the remaining $250 million under the Term Loan Facility was drawn and utilized as part of funding for the Inspection Technologies acquisition.</w:t>
      </w:r>
    </w:p>
    <w:p>
      <w:pPr>
        <w:spacing w:after="0" w:line="60" w:lineRule="exact"/>
        <w:rPr>
          <w:sz w:val="20"/>
          <w:szCs w:val="20"/>
          <w:color w:val="auto"/>
        </w:rPr>
      </w:pPr>
    </w:p>
    <w:p>
      <w:pPr>
        <w:jc w:val="both"/>
        <w:ind w:right="400" w:firstLine="486"/>
        <w:spacing w:after="0" w:line="266" w:lineRule="auto"/>
        <w:rPr>
          <w:sz w:val="20"/>
          <w:szCs w:val="20"/>
          <w:color w:val="auto"/>
        </w:rPr>
      </w:pPr>
      <w:r>
        <w:rPr>
          <w:rFonts w:ascii="Times New Roman" w:cs="Times New Roman" w:eastAsia="Times New Roman" w:hAnsi="Times New Roman"/>
          <w:sz w:val="18"/>
          <w:szCs w:val="18"/>
          <w:color w:val="auto"/>
        </w:rPr>
        <w:t>Also during the second quarter of 2025, the Company issued $500 million of Senior Notes due in 2030 (the "2030 Notes") and $750 million of Senior Notes due in 2035 (the "2035 Notes"). Proceeds from the 2030 Notes and cash on hand were utilized to repay the outstanding amount of 3.20% Senior Notes due 2025 at maturity. Proceeds from the 2035 Notes were utilized as part of funding for the Inspection Technologies acquisition.</w:t>
      </w:r>
    </w:p>
    <w:p>
      <w:pPr>
        <w:spacing w:after="0" w:line="68"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the Company entered into the 2024 Credit Agreement for a term loan of $225 million and issued $500 million of Senior Notes due in 2034 (the "2034 Notes"). Proceeds from the 2034 Notes, combined with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proceeds from the term loan under the 2024 Credit Agreement and cash on hand, were utilized to repay the outstanding amount of 2024 Notes at maturity.</w:t>
      </w:r>
    </w:p>
    <w:p>
      <w:pPr>
        <w:spacing w:after="0" w:line="11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Company borrows and repays against the Revolving Credit Facility for added flexibility in liquidity to manage cash during the operating cycle. The proceeds from borrowing and the repayments are shown within the "Proceeds from debt, net of issuance costs" and "Payments of debt" lines, respectively, presented in the Consolidated Statements of Cash Flows. Additional information with respect to credit facilities and long-term debt is included in Note 9 of "Notes to Consolidated Financial Statements” included in Part II, Item 8 of this report.</w:t>
      </w:r>
    </w:p>
    <w:p>
      <w:pPr>
        <w:spacing w:after="0" w:line="72"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held approximately $789 million of cash, cash equivalents, and restricted cash, of which approximately $198 million was held within the United States and approximately $591 million was held outside of the United States, primarily in Europe, South Africa, India and China. While repatriation of some cash held outside the United States may be restricted by local laws, most of the Company’s foreign cash could be repatriated to the United States net of any tax impacts. As of December 31, 2025, approximately $25 million of the Company's $789 million cash balance was classified as restricted cash.</w:t>
      </w:r>
    </w:p>
    <w:p>
      <w:pPr>
        <w:spacing w:after="0" w:line="75" w:lineRule="exact"/>
        <w:rPr>
          <w:sz w:val="20"/>
          <w:szCs w:val="20"/>
          <w:color w:val="auto"/>
        </w:rPr>
      </w:pPr>
    </w:p>
    <w:p>
      <w:pPr>
        <w:jc w:val="both"/>
        <w:ind w:right="280" w:firstLine="486"/>
        <w:spacing w:after="0" w:line="266" w:lineRule="auto"/>
        <w:rPr>
          <w:sz w:val="20"/>
          <w:szCs w:val="20"/>
          <w:color w:val="auto"/>
        </w:rPr>
      </w:pPr>
      <w:r>
        <w:rPr>
          <w:rFonts w:ascii="Times New Roman" w:cs="Times New Roman" w:eastAsia="Times New Roman" w:hAnsi="Times New Roman"/>
          <w:sz w:val="18"/>
          <w:szCs w:val="18"/>
          <w:color w:val="auto"/>
        </w:rPr>
        <w:t>The Company's goal is to maintain an investment-grade credit profile. Rating agencies that are engaged by the Company periodically update our credit ratings as events occur. As of December 31, 2025, the long-term credit ratings assigned to the Company were BBB with a stable outlook by Fitch Ratings, Baa2 with a stable outlook by Moody's Investors Service, and BBB with a stable outlook by S&amp;P Global Ratings.</w:t>
      </w:r>
    </w:p>
    <w:p>
      <w:pPr>
        <w:spacing w:after="0" w:line="68"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We or our affiliates may, from time to time, seek to retire or purchase outstanding debt through negotiated or open-market cash purchases, exchanges, or otherwise, and such transactions, if any, will be upon such terms and at such prices as we may determine, and will depend on prevailing market conditions, our liquidity requirements, contractual restrictions and other factors.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Receivables Program</w:t>
      </w:r>
    </w:p>
    <w:p>
      <w:pPr>
        <w:spacing w:after="0" w:line="11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Effective January 1, 2025, the Company utilizes its Revolving Receivables Program to request borrowings from a financial institution against certain collateralized receivables. During the third quarter of 2025, the Company amended the Revolving Receivables Program to increase its availability from $350 million to up to $450 million. The Company collateralizes certain receivables through our bankruptcy-remote subsidiary on a recurring basis. As customers pay their balances, we transfer additional receivables into the program. Borrowings and repayments under the Revolving Receivables Program are included within Proceeds from debt, net of issuance costs and Payments of debt within the Financing activities section of the Consolidated Statements of Cash Flows.</w:t>
      </w:r>
    </w:p>
    <w:p>
      <w:pPr>
        <w:spacing w:after="0" w:line="7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Prior to January 1, 2025, the Company utilized its Revolving Receivables Program to sell certain receivables for up to $350 million on a recurring basis. Net cash proceeds received from the sale of receivables in exchange for cash equal to the gross receivables sold are included in cash from operations within the Consolidated Statements of Cash Flows.</w:t>
      </w:r>
    </w:p>
    <w:p>
      <w:pPr>
        <w:spacing w:after="0" w:line="68" w:lineRule="exact"/>
        <w:rPr>
          <w:sz w:val="20"/>
          <w:szCs w:val="20"/>
          <w:color w:val="auto"/>
        </w:rPr>
      </w:pPr>
    </w:p>
    <w:p>
      <w:pPr>
        <w:jc w:val="both"/>
        <w:ind w:right="80" w:firstLine="48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borrowed and repaid $1,202 million against the collateralized receivables. There were no receivables sold during the year ended December 31, 2025. Net cash payments included in cash from operations from the Revolving Receivables Program was $(20) million for the year ended December 31, 2024. Additional information with respect to the Revolving Receivables Program is included in Note 2 of "Notes to Consolidated Financial Statements" included in Part II, Item 8 of this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Financing Program</w:t>
      </w:r>
    </w:p>
    <w:p>
      <w:pPr>
        <w:spacing w:after="0" w:line="11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and does not result in a change in the classification of amounts due as accounts payable in the Consolidated Balance Sheets. Additional information with respect to the Supply Chain Financing Program is included in Note 2 of "Notes to Consolidated Financial Statements" included in Part II, Item 8 of this report.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Intra-Quarter Uncommitted Money Market Line Credit Agreement</w:t>
      </w:r>
    </w:p>
    <w:p>
      <w:pPr>
        <w:spacing w:after="0" w:line="119"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During the third quarter of 2024, the Company entered into an uncommitted bilateral money market line credit agreement which provides an aggregate borrowing capacity of $150 million for general business purposes and working capital needs within a quarter.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Total Available Liquidity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8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4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60" w:type="dxa"/>
            <w:vAlign w:val="bottom"/>
          </w:tcPr>
          <w:p>
            <w:pPr>
              <w:spacing w:after="0"/>
              <w:rPr>
                <w:sz w:val="16"/>
                <w:szCs w:val="16"/>
                <w:color w:val="auto"/>
              </w:rPr>
            </w:pPr>
          </w:p>
        </w:tc>
        <w:tc>
          <w:tcPr>
            <w:tcW w:w="116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30"/>
        </w:trPr>
        <w:tc>
          <w:tcPr>
            <w:tcW w:w="20" w:type="dxa"/>
            <w:vAlign w:val="bottom"/>
          </w:tcPr>
          <w:p>
            <w:pPr>
              <w:spacing w:after="0"/>
              <w:rPr>
                <w:sz w:val="19"/>
                <w:szCs w:val="19"/>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Receivables Program</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8"/>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Available Liquidity</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r>
    </w:tbl>
    <w:p>
      <w:pPr>
        <w:spacing w:after="0" w:line="179"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On March 18, 2025, Wabtec announced a definitive agreement to acquire Dellner Couplers, with a purchase price of approximately €890 million. The transaction subsequently closed on February 10, 2026, and was funded with a combination of cash on hand and borrowings under other sources of available liquidity.</w:t>
      </w:r>
    </w:p>
    <w:p>
      <w:pPr>
        <w:spacing w:after="0" w:line="68"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completed acquisition of Frauscher and the announced definitive agreement to acquire Dellner Couplers, the Company entered into foreign exchange contracts for a notional amount of €1,290 million to mitigate foreign currency exposure associated with the acquisitions. As part of the acquisition of Frauscher, the Company utilized foreign exchange forward contracts with a notional value of €690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Guarantor Summarized Financial Information</w:t>
      </w:r>
    </w:p>
    <w:p>
      <w:pPr>
        <w:spacing w:after="0" w:line="119"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Westinghouse Air Brake Technologies Corporation (the “Parent Company”) has issued 3.20% Senior Notes due 2025 (retired in May 2025), 3.45% Senior Notes due 2026, 4.70% Senior Notes due 2028, 4.90% Senior Notes due 2030, 5.611% Senior Notes due 2034, and 5.50% Senior Notes due 2035 (collectively, the “US Notes”).</w:t>
      </w:r>
    </w:p>
    <w:p>
      <w:pPr>
        <w:spacing w:after="0" w:line="68"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The obligations under the US Notes issued by the Parent Company have been fully and unconditionally guaranteed by certain of the Parent Company's U.S. subsidiaries ("Guarantor Subsidiaries"), currently comprising GE Transportation, a Wabtec Company, RFPC Holding Corp., Transportation IP Holdings, LLC, Transportation Systems Services Operations Inc., Wabtec Components LLC, Wabtec Holding LLC, Wabtec Railway Electronics Holdings, LLC, Wabtec Transportation Systems, LLC and Wabtec US Rail, Inc.. Each guarantor is 100% owned by the Parent Company, with the exception of GE Transportation, a Wabtec Company, which has 15,000 shares outstanding of Class A Non-Voting Preferred Stock held by General Electric Company. The Euro Notes are issued by Wabtec Transportation Netherlands B.V. ("Wabtec Netherlands") and are fully and unconditionally guaranteed by the Parent Company.</w:t>
      </w:r>
    </w:p>
    <w:p>
      <w:pPr>
        <w:spacing w:after="0" w:line="8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of the Parent Company and the Guarantor Subsidiaries on a combined basis. The combined summarized financial information eliminates (i) intercompany balances and transactions among the Parent Company and Guarantor Subsidiaries and (ii) equity in earnings from and investments in any subsidiaries that is not a Guarantor Subsidiary.</w:t>
      </w:r>
    </w:p>
    <w:p>
      <w:pPr>
        <w:spacing w:after="0" w:line="68"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summarized financial information is provided in accordance with the reporting requirements of Rule 13-01 under SEC Regulation S-X for the Parent Company, as the issuer of the US Notes, and Guarantor Subsidiaries.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5" w:name="page36"/>
    <w:bookmarkEnd w:id="35"/>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Summarized Statement of Income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03"/>
        </w:trPr>
        <w:tc>
          <w:tcPr>
            <w:tcW w:w="66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Parent Company and Guarantor Subsidiaries</w:t>
            </w:r>
          </w:p>
        </w:tc>
      </w:tr>
      <w:tr>
        <w:trPr>
          <w:trHeight w:val="172"/>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560" w:type="dxa"/>
            <w:vAlign w:val="bottom"/>
          </w:tcPr>
          <w:p>
            <w:pPr>
              <w:spacing w:after="0"/>
              <w:rPr>
                <w:sz w:val="14"/>
                <w:szCs w:val="1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34"/>
        </w:trPr>
        <w:tc>
          <w:tcPr>
            <w:tcW w:w="6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4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4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Wabtec shareholders</w:t>
            </w:r>
          </w:p>
        </w:tc>
        <w:tc>
          <w:tcPr>
            <w:tcW w:w="3840" w:type="dxa"/>
            <w:vAlign w:val="bottom"/>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Summarized Balance Sheet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80" w:type="dxa"/>
            <w:vAlign w:val="bottom"/>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Parent Company and Guarantor Subsidiaries</w:t>
            </w:r>
          </w:p>
        </w:tc>
      </w:tr>
      <w:tr>
        <w:trPr>
          <w:trHeight w:val="172"/>
        </w:trPr>
        <w:tc>
          <w:tcPr>
            <w:tcW w:w="20" w:type="dxa"/>
            <w:vAlign w:val="bottom"/>
          </w:tcPr>
          <w:p>
            <w:pPr>
              <w:spacing w:after="0"/>
              <w:rPr>
                <w:sz w:val="14"/>
                <w:szCs w:val="14"/>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4"/>
                <w:szCs w:val="14"/>
                <w:color w:val="auto"/>
              </w:rPr>
            </w:pP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20" w:type="dxa"/>
            <w:vAlign w:val="bottom"/>
          </w:tcPr>
          <w:p>
            <w:pPr>
              <w:spacing w:after="0"/>
              <w:rPr>
                <w:sz w:val="14"/>
                <w:szCs w:val="14"/>
                <w:color w:val="auto"/>
              </w:rPr>
            </w:pPr>
          </w:p>
        </w:tc>
        <w:tc>
          <w:tcPr>
            <w:tcW w:w="18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r>
      <w:tr>
        <w:trPr>
          <w:trHeight w:val="229"/>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30"/>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r>
      <w:tr>
        <w:trPr>
          <w:trHeight w:val="229"/>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r>
      <w:tr>
        <w:trPr>
          <w:trHeight w:val="230"/>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is a description of the transactions between the combined Parent Company and guarantor subsidiaries with non-guarantor subsidiaries.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03"/>
        </w:trPr>
        <w:tc>
          <w:tcPr>
            <w:tcW w:w="66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Parent Company and Guarantor Subsidiaries</w:t>
            </w:r>
          </w:p>
        </w:tc>
      </w:tr>
      <w:tr>
        <w:trPr>
          <w:trHeight w:val="172"/>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560" w:type="dxa"/>
            <w:vAlign w:val="bottom"/>
          </w:tcPr>
          <w:p>
            <w:pPr>
              <w:spacing w:after="0"/>
              <w:rPr>
                <w:sz w:val="14"/>
                <w:szCs w:val="1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34"/>
        </w:trPr>
        <w:tc>
          <w:tcPr>
            <w:tcW w:w="6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 to non-guarantor subsidiaries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34"/>
        </w:trPr>
        <w:tc>
          <w:tcPr>
            <w:tcW w:w="20" w:type="dxa"/>
            <w:vAlign w:val="bottom"/>
          </w:tcPr>
          <w:p>
            <w:pPr>
              <w:spacing w:after="0"/>
              <w:rPr>
                <w:sz w:val="20"/>
                <w:szCs w:val="20"/>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from non-guarantor subsidiaries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44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4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4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Parent Company and Guarantor Subsidiaries</w:t>
            </w:r>
          </w:p>
        </w:tc>
      </w:tr>
      <w:tr>
        <w:trPr>
          <w:trHeight w:val="172"/>
        </w:trPr>
        <w:tc>
          <w:tcPr>
            <w:tcW w:w="20" w:type="dxa"/>
            <w:vAlign w:val="bottom"/>
          </w:tcPr>
          <w:p>
            <w:pPr>
              <w:spacing w:after="0"/>
              <w:rPr>
                <w:sz w:val="14"/>
                <w:szCs w:val="14"/>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4"/>
                <w:szCs w:val="14"/>
                <w:color w:val="auto"/>
              </w:rPr>
            </w:pPr>
          </w:p>
        </w:tc>
        <w:tc>
          <w:tcPr>
            <w:tcW w:w="364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non-guarantor subsidiaries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Summarized Financial Information—Euro Notes</w:t>
      </w:r>
    </w:p>
    <w:p>
      <w:pPr>
        <w:spacing w:after="0" w:line="106" w:lineRule="exact"/>
        <w:rPr>
          <w:sz w:val="20"/>
          <w:szCs w:val="20"/>
          <w:color w:val="auto"/>
        </w:rPr>
      </w:pPr>
    </w:p>
    <w:p>
      <w:pPr>
        <w:ind w:right="240" w:firstLine="486"/>
        <w:spacing w:after="0" w:line="236" w:lineRule="auto"/>
        <w:rPr>
          <w:sz w:val="20"/>
          <w:szCs w:val="20"/>
          <w:color w:val="auto"/>
        </w:rPr>
      </w:pPr>
      <w:r>
        <w:rPr>
          <w:rFonts w:ascii="Times New Roman" w:cs="Times New Roman" w:eastAsia="Times New Roman" w:hAnsi="Times New Roman"/>
          <w:sz w:val="18"/>
          <w:szCs w:val="18"/>
          <w:color w:val="auto"/>
        </w:rPr>
        <w:t>The obligations under Wabtec Netherlands’ Euro Notes are fully and unconditionally guaranteed by the Parent Company. Wabtec Netherlands is a wholly-owned, indirect subsidiary of the Parent Company. Wabtec Netherlands is a holding company and does not have any independent operations. Its assets consist of its investments in subsidiaries, which are separate and distinct legal entities that are not guarantors of the Euro Notes and have no obligations to pay amounts due under Wabtec Netherlands’ obligations.</w:t>
      </w:r>
    </w:p>
    <w:p>
      <w:pPr>
        <w:spacing w:after="0" w:line="63" w:lineRule="exact"/>
        <w:rPr>
          <w:sz w:val="20"/>
          <w:szCs w:val="20"/>
          <w:color w:val="auto"/>
        </w:rPr>
      </w:pPr>
    </w:p>
    <w:p>
      <w:pPr>
        <w:ind w:right="120" w:firstLine="486"/>
        <w:spacing w:after="0" w:line="23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of Wabtec Netherlands, as the Issuer of the Euro Notes, and the Parent Company, as the parent Guarantor, on a combined basis. The combined summarized financial information eliminates all intercompany balances and transactions among Wabtec Netherlands and the Parent Company as well as all equity in earnings from and investments in any subsidiary of the Parent Company, other than Wabtec Netherlands, which we refer to below as the Non-Guarantor Subsidiaries.</w:t>
      </w:r>
    </w:p>
    <w:p>
      <w:pPr>
        <w:spacing w:after="0" w:line="63" w:lineRule="exact"/>
        <w:rPr>
          <w:sz w:val="20"/>
          <w:szCs w:val="20"/>
          <w:color w:val="auto"/>
        </w:rPr>
      </w:pPr>
    </w:p>
    <w:p>
      <w:pPr>
        <w:ind w:right="460" w:firstLine="486"/>
        <w:spacing w:after="0" w:line="250" w:lineRule="auto"/>
        <w:rPr>
          <w:sz w:val="20"/>
          <w:szCs w:val="20"/>
          <w:color w:val="auto"/>
        </w:rPr>
      </w:pPr>
      <w:r>
        <w:rPr>
          <w:rFonts w:ascii="Times New Roman" w:cs="Times New Roman" w:eastAsia="Times New Roman" w:hAnsi="Times New Roman"/>
          <w:sz w:val="18"/>
          <w:szCs w:val="18"/>
          <w:color w:val="auto"/>
        </w:rPr>
        <w:t>The summarized financial information is provided in accordance with the reporting requirements of Rule 13-01 under SEC Regulation S-X for Wabtec Netherlands, as the issuer of the Euro Notes, and Parent Company guarantor.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6" w:name="page37"/>
    <w:bookmarkEnd w:id="36"/>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Summarized Statement of Income</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03"/>
        </w:trPr>
        <w:tc>
          <w:tcPr>
            <w:tcW w:w="66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Issuer and Parent Company (Guarantor)</w:t>
            </w:r>
          </w:p>
        </w:tc>
      </w:tr>
      <w:tr>
        <w:trPr>
          <w:trHeight w:val="172"/>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7340" w:type="dxa"/>
            <w:vAlign w:val="bottom"/>
          </w:tcPr>
          <w:p>
            <w:pPr>
              <w:spacing w:after="0"/>
              <w:rPr>
                <w:sz w:val="14"/>
                <w:szCs w:val="1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34"/>
        </w:trPr>
        <w:tc>
          <w:tcPr>
            <w:tcW w:w="66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6"/>
              </w:rPr>
              <w:t>603</w:t>
            </w: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6"/>
              </w:rPr>
              <w:t>141</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Wabtec shareholders</w:t>
            </w:r>
          </w:p>
        </w:tc>
        <w:tc>
          <w:tcPr>
            <w:tcW w:w="386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rPr>
              <w:t>(266)</w:t>
            </w:r>
          </w:p>
        </w:tc>
      </w:tr>
    </w:tbl>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Summarized Balance Sheet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60" w:type="dxa"/>
            <w:vAlign w:val="bottom"/>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Issuer and Parent Company (Guarantor)</w:t>
            </w:r>
          </w:p>
        </w:tc>
      </w:tr>
      <w:tr>
        <w:trPr>
          <w:trHeight w:val="172"/>
        </w:trPr>
        <w:tc>
          <w:tcPr>
            <w:tcW w:w="20" w:type="dxa"/>
            <w:vAlign w:val="bottom"/>
          </w:tcPr>
          <w:p>
            <w:pPr>
              <w:spacing w:after="0"/>
              <w:rPr>
                <w:sz w:val="14"/>
                <w:szCs w:val="14"/>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Pr>
          <w:p>
            <w:pPr>
              <w:spacing w:after="0"/>
              <w:rPr>
                <w:sz w:val="14"/>
                <w:szCs w:val="14"/>
                <w:color w:val="auto"/>
              </w:rPr>
            </w:pP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80" w:type="dxa"/>
            <w:vAlign w:val="bottom"/>
          </w:tcPr>
          <w:p>
            <w:pPr>
              <w:spacing w:after="0"/>
              <w:rPr>
                <w:sz w:val="14"/>
                <w:szCs w:val="14"/>
                <w:color w:val="auto"/>
              </w:rPr>
            </w:pPr>
          </w:p>
        </w:tc>
        <w:tc>
          <w:tcPr>
            <w:tcW w:w="18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29"/>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29"/>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r>
      <w:tr>
        <w:trPr>
          <w:trHeight w:val="229"/>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171" w:lineRule="exact"/>
        <w:rPr>
          <w:sz w:val="20"/>
          <w:szCs w:val="20"/>
          <w:color w:val="auto"/>
        </w:rPr>
      </w:pPr>
    </w:p>
    <w:p>
      <w:pPr>
        <w:ind w:right="60" w:firstLine="486"/>
        <w:spacing w:after="0" w:line="236" w:lineRule="auto"/>
        <w:rPr>
          <w:sz w:val="20"/>
          <w:szCs w:val="20"/>
          <w:color w:val="auto"/>
        </w:rPr>
      </w:pPr>
      <w:r>
        <w:rPr>
          <w:rFonts w:ascii="Times New Roman" w:cs="Times New Roman" w:eastAsia="Times New Roman" w:hAnsi="Times New Roman"/>
          <w:sz w:val="18"/>
          <w:szCs w:val="18"/>
          <w:color w:val="auto"/>
        </w:rPr>
        <w:t>The following is a description of the transactions between the combined Wabtec Netherlands, as the Issuer of the Euro Notes, and the Parent Company, as the parent Guarantor, with the subsidiaries of Westinghouse Air Brake Technologies Corp., other than Wabtec Netherlands, none of which are guarantors of the Euro Notes.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03"/>
        </w:trPr>
        <w:tc>
          <w:tcPr>
            <w:tcW w:w="66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Issuer and Parent Company (Guarantor)</w:t>
            </w:r>
          </w:p>
        </w:tc>
      </w:tr>
      <w:tr>
        <w:trPr>
          <w:trHeight w:val="172"/>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7340" w:type="dxa"/>
            <w:vAlign w:val="bottom"/>
          </w:tcPr>
          <w:p>
            <w:pPr>
              <w:spacing w:after="0"/>
              <w:rPr>
                <w:sz w:val="14"/>
                <w:szCs w:val="1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34"/>
        </w:trPr>
        <w:tc>
          <w:tcPr>
            <w:tcW w:w="66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 to non-guarantor subsidiaries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20" w:type="dxa"/>
            <w:vAlign w:val="bottom"/>
          </w:tcPr>
          <w:p>
            <w:pPr>
              <w:spacing w:after="0"/>
              <w:rPr>
                <w:sz w:val="20"/>
                <w:szCs w:val="20"/>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from non-guarantor subsidiaries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44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Issuer and Parent Company (Guarantor)</w:t>
            </w:r>
          </w:p>
        </w:tc>
      </w:tr>
      <w:tr>
        <w:trPr>
          <w:trHeight w:val="172"/>
        </w:trPr>
        <w:tc>
          <w:tcPr>
            <w:tcW w:w="20" w:type="dxa"/>
            <w:vAlign w:val="bottom"/>
          </w:tcPr>
          <w:p>
            <w:pPr>
              <w:spacing w:after="0"/>
              <w:rPr>
                <w:sz w:val="14"/>
                <w:szCs w:val="14"/>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Pr>
          <w:p>
            <w:pPr>
              <w:spacing w:after="0"/>
              <w:rPr>
                <w:sz w:val="14"/>
                <w:szCs w:val="14"/>
                <w:color w:val="auto"/>
              </w:rPr>
            </w:pPr>
          </w:p>
        </w:tc>
        <w:tc>
          <w:tcPr>
            <w:tcW w:w="29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non-guarantor subsidiaries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121"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The Company is obligated to make future payments under various contracts such as purchase, debt and lease agreements and has certain contingent commitments. The Company has grouped these contractual obligations and off-balance sheet arrangements into operating activities, financing activities, and investing activities in the same manner as they are classified in the Statement of Consolidated Cash Flows to provide a better understanding of the nature of the obligations and arrangements and to provide a basis for comparison to historical information. The table below provides a summary of contractual obligations and off-balance sheet arrangements as of December 31, 2025: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7"/>
                <w:szCs w:val="17"/>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7"/>
                <w:szCs w:val="17"/>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2027-28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2029-30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2031+</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200"/>
              <w:spacing w:after="0" w:line="216" w:lineRule="exact"/>
              <w:rPr>
                <w:sz w:val="20"/>
                <w:szCs w:val="20"/>
                <w:color w:val="auto"/>
              </w:rPr>
            </w:pPr>
            <w:r>
              <w:rPr>
                <w:rFonts w:ascii="Times New Roman" w:cs="Times New Roman" w:eastAsia="Times New Roman" w:hAnsi="Times New Roman"/>
                <w:sz w:val="16"/>
                <w:szCs w:val="16"/>
                <w:color w:val="auto"/>
              </w:rPr>
              <w:t xml:space="preserve">Purchase obligations </w:t>
            </w:r>
            <w:r>
              <w:rPr>
                <w:rFonts w:ascii="Times New Roman" w:cs="Times New Roman" w:eastAsia="Times New Roman" w:hAnsi="Times New Roman"/>
                <w:sz w:val="21"/>
                <w:szCs w:val="21"/>
                <w:color w:val="auto"/>
                <w:vertAlign w:val="superscript"/>
              </w:rPr>
              <w:t>(1)</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ind w:left="200"/>
              <w:spacing w:after="0" w:line="216" w:lineRule="exact"/>
              <w:rPr>
                <w:sz w:val="20"/>
                <w:szCs w:val="20"/>
                <w:color w:val="auto"/>
              </w:rPr>
            </w:pPr>
            <w:r>
              <w:rPr>
                <w:rFonts w:ascii="Times New Roman" w:cs="Times New Roman" w:eastAsia="Times New Roman" w:hAnsi="Times New Roman"/>
                <w:sz w:val="16"/>
                <w:szCs w:val="16"/>
                <w:color w:val="auto"/>
              </w:rPr>
              <w:t xml:space="preserve">Operating leases </w:t>
            </w:r>
            <w:r>
              <w:rPr>
                <w:rFonts w:ascii="Times New Roman" w:cs="Times New Roman" w:eastAsia="Times New Roman" w:hAnsi="Times New Roman"/>
                <w:sz w:val="21"/>
                <w:szCs w:val="21"/>
                <w:color w:val="auto"/>
                <w:vertAlign w:val="superscript"/>
              </w:rPr>
              <w:t>(2)</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6"/>
        </w:trPr>
        <w:tc>
          <w:tcPr>
            <w:tcW w:w="20" w:type="dxa"/>
            <w:vAlign w:val="bottom"/>
          </w:tcPr>
          <w:p>
            <w:pPr>
              <w:spacing w:after="0"/>
              <w:rPr>
                <w:sz w:val="18"/>
                <w:szCs w:val="18"/>
                <w:color w:val="auto"/>
              </w:rPr>
            </w:pPr>
          </w:p>
        </w:tc>
        <w:tc>
          <w:tcPr>
            <w:tcW w:w="4120" w:type="dxa"/>
            <w:vAlign w:val="bottom"/>
            <w:gridSpan w:val="2"/>
          </w:tcPr>
          <w:p>
            <w:pPr>
              <w:ind w:left="200"/>
              <w:spacing w:after="0" w:line="216" w:lineRule="exact"/>
              <w:rPr>
                <w:sz w:val="20"/>
                <w:szCs w:val="20"/>
                <w:color w:val="auto"/>
              </w:rPr>
            </w:pPr>
            <w:r>
              <w:rPr>
                <w:rFonts w:ascii="Times New Roman" w:cs="Times New Roman" w:eastAsia="Times New Roman" w:hAnsi="Times New Roman"/>
                <w:sz w:val="16"/>
                <w:szCs w:val="16"/>
                <w:color w:val="auto"/>
              </w:rPr>
              <w:t xml:space="preserve">Pension and postretirement benefit payments </w:t>
            </w:r>
            <w:r>
              <w:rPr>
                <w:rFonts w:ascii="Times New Roman" w:cs="Times New Roman" w:eastAsia="Times New Roman" w:hAnsi="Times New Roman"/>
                <w:sz w:val="21"/>
                <w:szCs w:val="21"/>
                <w:color w:val="auto"/>
                <w:vertAlign w:val="superscript"/>
              </w:rPr>
              <w:t>(3)</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6"/>
        </w:trPr>
        <w:tc>
          <w:tcPr>
            <w:tcW w:w="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ind w:left="200"/>
              <w:spacing w:after="0" w:line="216" w:lineRule="exact"/>
              <w:rPr>
                <w:sz w:val="20"/>
                <w:szCs w:val="20"/>
                <w:color w:val="auto"/>
              </w:rPr>
            </w:pPr>
            <w:r>
              <w:rPr>
                <w:rFonts w:ascii="Times New Roman" w:cs="Times New Roman" w:eastAsia="Times New Roman" w:hAnsi="Times New Roman"/>
                <w:sz w:val="16"/>
                <w:szCs w:val="16"/>
                <w:color w:val="auto"/>
              </w:rPr>
              <w:t xml:space="preserve">Interest payments </w:t>
            </w:r>
            <w:r>
              <w:rPr>
                <w:rFonts w:ascii="Times New Roman" w:cs="Times New Roman" w:eastAsia="Times New Roman" w:hAnsi="Times New Roman"/>
                <w:sz w:val="21"/>
                <w:szCs w:val="21"/>
                <w:color w:val="auto"/>
                <w:vertAlign w:val="superscript"/>
              </w:rPr>
              <w:t>(4)</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13"/>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16"/>
        </w:trPr>
        <w:tc>
          <w:tcPr>
            <w:tcW w:w="20" w:type="dxa"/>
            <w:vAlign w:val="bottom"/>
          </w:tcPr>
          <w:p>
            <w:pPr>
              <w:spacing w:after="0"/>
              <w:rPr>
                <w:sz w:val="18"/>
                <w:szCs w:val="18"/>
                <w:color w:val="auto"/>
              </w:rPr>
            </w:pPr>
          </w:p>
        </w:tc>
        <w:tc>
          <w:tcPr>
            <w:tcW w:w="4120" w:type="dxa"/>
            <w:vAlign w:val="bottom"/>
            <w:gridSpan w:val="2"/>
          </w:tcPr>
          <w:p>
            <w:pPr>
              <w:ind w:left="200"/>
              <w:spacing w:after="0" w:line="216" w:lineRule="exact"/>
              <w:rPr>
                <w:sz w:val="20"/>
                <w:szCs w:val="20"/>
                <w:color w:val="auto"/>
              </w:rPr>
            </w:pPr>
            <w:r>
              <w:rPr>
                <w:rFonts w:ascii="Times New Roman" w:cs="Times New Roman" w:eastAsia="Times New Roman" w:hAnsi="Times New Roman"/>
                <w:sz w:val="16"/>
                <w:szCs w:val="16"/>
                <w:color w:val="auto"/>
              </w:rPr>
              <w:t xml:space="preserve">Dividends to shareholders </w:t>
            </w:r>
            <w:r>
              <w:rPr>
                <w:rFonts w:ascii="Times New Roman" w:cs="Times New Roman" w:eastAsia="Times New Roman" w:hAnsi="Times New Roman"/>
                <w:sz w:val="21"/>
                <w:szCs w:val="21"/>
                <w:color w:val="auto"/>
                <w:vertAlign w:val="superscript"/>
              </w:rPr>
              <w:t>(5)</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7" w:name="page38"/>
    <w:bookmarkEnd w:id="37"/>
    <w:p>
      <w:pPr>
        <w:ind w:left="600" w:hanging="309"/>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represent non-cancelable contractual obligations at December 31, 2025.</w:t>
      </w:r>
    </w:p>
    <w:p>
      <w:pPr>
        <w:spacing w:after="0" w:line="117" w:lineRule="exact"/>
        <w:rPr>
          <w:rFonts w:ascii="Times New Roman" w:cs="Times New Roman" w:eastAsia="Times New Roman" w:hAnsi="Times New Roman"/>
          <w:sz w:val="18"/>
          <w:szCs w:val="18"/>
          <w:color w:val="auto"/>
        </w:rPr>
      </w:pPr>
    </w:p>
    <w:p>
      <w:pPr>
        <w:ind w:left="600" w:hanging="309"/>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leases represent multi-year obligations for rental of facilities and equipment.</w:t>
      </w:r>
    </w:p>
    <w:p>
      <w:pPr>
        <w:spacing w:after="0" w:line="117" w:lineRule="exact"/>
        <w:rPr>
          <w:rFonts w:ascii="Times New Roman" w:cs="Times New Roman" w:eastAsia="Times New Roman" w:hAnsi="Times New Roman"/>
          <w:sz w:val="18"/>
          <w:szCs w:val="18"/>
          <w:color w:val="auto"/>
        </w:rPr>
      </w:pPr>
    </w:p>
    <w:p>
      <w:pPr>
        <w:ind w:left="620" w:right="520" w:hanging="329"/>
        <w:spacing w:after="0" w:line="266" w:lineRule="auto"/>
        <w:tabs>
          <w:tab w:leader="none" w:pos="6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and postretirement benefit payments includes expected payments to participants out of plan assets and corporate assets. The benefit payments are based on actuarial estimates using current assumptions for discount rates, expected return on long-term assets and rate of compensation increases. The Company does not expect material contributions to pension plan investments in 2026.</w:t>
      </w:r>
    </w:p>
    <w:p>
      <w:pPr>
        <w:spacing w:after="0" w:line="67" w:lineRule="exact"/>
        <w:rPr>
          <w:rFonts w:ascii="Times New Roman" w:cs="Times New Roman" w:eastAsia="Times New Roman" w:hAnsi="Times New Roman"/>
          <w:sz w:val="18"/>
          <w:szCs w:val="18"/>
          <w:color w:val="auto"/>
        </w:rPr>
      </w:pPr>
    </w:p>
    <w:p>
      <w:pPr>
        <w:ind w:left="620" w:right="260" w:hanging="329"/>
        <w:spacing w:after="0" w:line="312" w:lineRule="auto"/>
        <w:tabs>
          <w:tab w:leader="none" w:pos="61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payments on the Senior Notes and the amounts borrowed under the 2025 Term Credit Agreement and 2025 Credit Agreement as of December 31, 2025 are based on interest rates in effect as of December 31, 2025 and are calculated on debt with maturities that extend to 2035.</w:t>
      </w:r>
    </w:p>
    <w:p>
      <w:pPr>
        <w:spacing w:after="0" w:line="31" w:lineRule="exact"/>
        <w:rPr>
          <w:rFonts w:ascii="Times New Roman" w:cs="Times New Roman" w:eastAsia="Times New Roman" w:hAnsi="Times New Roman"/>
          <w:sz w:val="17"/>
          <w:szCs w:val="17"/>
          <w:color w:val="auto"/>
        </w:rPr>
      </w:pPr>
    </w:p>
    <w:p>
      <w:pPr>
        <w:ind w:left="620" w:right="340" w:hanging="329"/>
        <w:spacing w:after="0" w:line="282" w:lineRule="auto"/>
        <w:tabs>
          <w:tab w:leader="none" w:pos="6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dividends are subject to approval by the Company’s Board of Directors, currently at an annual rate of approximately $212 million beginning in 2026.</w:t>
      </w:r>
    </w:p>
    <w:p>
      <w:pPr>
        <w:spacing w:after="0" w:line="54"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above table does not reflect uncertain tax positions of $29 million, the timing of which are uncertain. Refer to Note 11 of the “Notes to Consolidated Financial Statements” included in Part II, Item 8 of this report for additional information on uncertain tax positions. Additionally, the Company arranges for certain types of bank guarantees and letters of credit, such as performance bonds, bid bonds and financial guarantees, that are issued by certain banks and insurance companies to support customer contracts. At December 31, 2025, the total value of these bank guarantees and letters of credit were $1,141 million and expire on various dates through 2035. Amounts include interest payments based on contractual terms and the Company’s current interest rate.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forward-looking statements are subject to various risks, uncertainties and assumptions about us, including, among other things: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and industry conditions</w:t>
      </w:r>
    </w:p>
    <w:p>
      <w:pPr>
        <w:spacing w:after="0" w:line="54" w:lineRule="exact"/>
        <w:rPr>
          <w:sz w:val="20"/>
          <w:szCs w:val="20"/>
          <w:color w:val="auto"/>
        </w:rPr>
      </w:pPr>
    </w:p>
    <w:p>
      <w:pPr>
        <w:ind w:left="620" w:right="740" w:hanging="329"/>
        <w:spacing w:after="0" w:line="234" w:lineRule="auto"/>
        <w:tabs>
          <w:tab w:leader="none" w:pos="61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general economic and/or industry specific conditions, including the impacts of tax and tariff programs, inflation, supply chain disruptions, foreign currency exchange, and industry consolidation;</w:t>
      </w:r>
    </w:p>
    <w:p>
      <w:pPr>
        <w:spacing w:after="0" w:line="1" w:lineRule="exact"/>
        <w:rPr>
          <w:rFonts w:ascii="Arial" w:cs="Arial" w:eastAsia="Arial" w:hAnsi="Arial"/>
          <w:sz w:val="22"/>
          <w:szCs w:val="22"/>
          <w:color w:val="auto"/>
        </w:rPr>
      </w:pPr>
    </w:p>
    <w:p>
      <w:pPr>
        <w:ind w:left="620" w:right="1000" w:hanging="329"/>
        <w:spacing w:after="0" w:line="250" w:lineRule="auto"/>
        <w:tabs>
          <w:tab w:leader="none" w:pos="6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significant recent shifts in trade policies, including the imposition of tariffs, retaliatory tariff measures, and subsequent modifications or suspensions thereof, and market reactions to such policies and resulting trade disputes;</w:t>
      </w:r>
    </w:p>
    <w:p>
      <w:pPr>
        <w:ind w:left="620" w:hanging="329"/>
        <w:spacing w:after="0" w:line="250" w:lineRule="auto"/>
        <w:tabs>
          <w:tab w:leader="none" w:pos="6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prolonged unfavorable economic and industry conditions in the markets served by us, including North America, South America, Europe, Australia, Asia and Africa;</w:t>
      </w: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demand for freight cars, locomotives, passenger transit cars, buses and related products and services;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major original equipment manufacturer customers;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equipment manufacturers’ program delays;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services in the freight and passenger rail industry;</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and services;</w:t>
      </w:r>
    </w:p>
    <w:p>
      <w:pPr>
        <w:spacing w:after="0" w:line="9" w:lineRule="exact"/>
        <w:rPr>
          <w:rFonts w:ascii="Times New Roman" w:cs="Times New Roman" w:eastAsia="Times New Roman" w:hAnsi="Times New Roman"/>
          <w:sz w:val="18"/>
          <w:szCs w:val="18"/>
          <w:color w:val="auto"/>
        </w:rPr>
      </w:pPr>
    </w:p>
    <w:p>
      <w:pPr>
        <w:ind w:left="620" w:right="260" w:hanging="329"/>
        <w:spacing w:after="0" w:line="250" w:lineRule="auto"/>
        <w:tabs>
          <w:tab w:leader="none" w:pos="6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either being delayed, canceled, not returning to historical levels or being reduced, and/or economic conditions affecting the ability of our customers to pay timely for goods and services delivered;</w:t>
      </w: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consolidations in the rail industry;</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outsourcing by our customers;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demand for faster and more efficient braking equipment;</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foreign currency exchange rates;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credit or difficulty in obtaining debt or equity financing;</w:t>
      </w:r>
    </w:p>
    <w:p>
      <w:pPr>
        <w:spacing w:after="0" w:line="9" w:lineRule="exact"/>
        <w:rPr>
          <w:rFonts w:ascii="Times New Roman" w:cs="Times New Roman" w:eastAsia="Times New Roman" w:hAnsi="Times New Roman"/>
          <w:sz w:val="18"/>
          <w:szCs w:val="18"/>
          <w:color w:val="auto"/>
        </w:rPr>
      </w:pPr>
    </w:p>
    <w:p>
      <w:pPr>
        <w:ind w:left="620" w:right="520" w:hanging="329"/>
        <w:spacing w:after="0" w:line="250" w:lineRule="auto"/>
        <w:tabs>
          <w:tab w:leader="none" w:pos="6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consensus as to what attributes are required for projects to be considered "green" or "sustainable" or negative perceptions regarding determinations in such regard with respect to our Green Finance Framework or sustainability strategy; or</w:t>
      </w: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sustainability topics that have the highest relative priority for Wabtec's external stakeholders;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factors</w:t>
      </w:r>
    </w:p>
    <w:p>
      <w:pPr>
        <w:spacing w:after="0" w:line="31" w:lineRule="exact"/>
        <w:rPr>
          <w:sz w:val="20"/>
          <w:szCs w:val="20"/>
          <w:color w:val="auto"/>
        </w:rPr>
      </w:pPr>
    </w:p>
    <w:p>
      <w:pPr>
        <w:ind w:left="620" w:hanging="329"/>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disruptions;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difficulties;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conditions and costs;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38" w:name="page39"/>
    <w:bookmarkEnd w:id="38"/>
    <w:p>
      <w:pPr>
        <w:ind w:left="620" w:hanging="329"/>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raw material costs;</w:t>
      </w:r>
    </w:p>
    <w:p>
      <w:pPr>
        <w:spacing w:after="0" w:line="2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the successful introduction of new products;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quality and reliability;</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under material long-term contracts;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availability constraints and labor relations challenges;</w:t>
      </w:r>
    </w:p>
    <w:p>
      <w:pPr>
        <w:spacing w:after="0" w:line="9" w:lineRule="exact"/>
        <w:rPr>
          <w:rFonts w:ascii="Times New Roman" w:cs="Times New Roman" w:eastAsia="Times New Roman" w:hAnsi="Times New Roman"/>
          <w:sz w:val="18"/>
          <w:szCs w:val="18"/>
          <w:color w:val="auto"/>
        </w:rPr>
      </w:pPr>
    </w:p>
    <w:p>
      <w:pPr>
        <w:ind w:left="620" w:right="20" w:hanging="329"/>
        <w:spacing w:after="0" w:line="250" w:lineRule="auto"/>
        <w:tabs>
          <w:tab w:leader="none" w:pos="6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w:t>
      </w:r>
    </w:p>
    <w:p>
      <w:pPr>
        <w:spacing w:after="0" w:line="1"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and integrate acquisitions;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development and use of new technology; or</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data protection risks;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factors</w:t>
      </w:r>
    </w:p>
    <w:p>
      <w:pPr>
        <w:spacing w:after="0" w:line="31" w:lineRule="exact"/>
        <w:rPr>
          <w:sz w:val="20"/>
          <w:szCs w:val="20"/>
          <w:color w:val="auto"/>
        </w:rPr>
      </w:pPr>
    </w:p>
    <w:p>
      <w:pPr>
        <w:ind w:left="620" w:hanging="329"/>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competitors; or</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outcomes of negotiations with partners, suppliers, customers or others;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Political/governmental factors</w:t>
      </w:r>
    </w:p>
    <w:p>
      <w:pPr>
        <w:spacing w:after="0" w:line="31" w:lineRule="exact"/>
        <w:rPr>
          <w:sz w:val="20"/>
          <w:szCs w:val="20"/>
          <w:color w:val="auto"/>
        </w:rPr>
      </w:pPr>
    </w:p>
    <w:p>
      <w:pPr>
        <w:ind w:left="620" w:hanging="329"/>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in relevant areas of the world, including the impacts of war, conflicts, global military action, and acts of terrorism;</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regulation/deregulation of our customers and/or the rail industry;</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levels of governmental funding on transit projects, including for some of our customers;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developments and laws and regulations, including those related to Positive Train Control;</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consequences of federal and state income tax legislation;</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imposed on countries and persons; or</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negotiations with governments;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Natural hazards / health crises</w:t>
      </w:r>
    </w:p>
    <w:p>
      <w:pPr>
        <w:spacing w:after="0" w:line="31" w:lineRule="exact"/>
        <w:rPr>
          <w:sz w:val="20"/>
          <w:szCs w:val="20"/>
          <w:color w:val="auto"/>
        </w:rPr>
      </w:pPr>
    </w:p>
    <w:p>
      <w:pPr>
        <w:ind w:left="620" w:hanging="329"/>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climate change, including evolving climate change policy;</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disruptive natural hazards, including earthquakes, fires, floods, tornadoes, hurricanes or other weather conditions;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pandemics, or similar public health crises;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general economic conditions as a result of natural hazards or health crises;</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shutdown of one or more of our operating facilities as a result of natural hazards and health crises; or</w:t>
      </w:r>
    </w:p>
    <w:p>
      <w:pPr>
        <w:spacing w:after="0" w:line="9"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and sourcing disruptions as a result of natural hazards, health crises or other external factors;</w:t>
      </w:r>
    </w:p>
    <w:p>
      <w:pPr>
        <w:spacing w:after="0" w:line="99" w:lineRule="exact"/>
        <w:rPr>
          <w:sz w:val="20"/>
          <w:szCs w:val="20"/>
          <w:color w:val="auto"/>
        </w:rPr>
      </w:pPr>
    </w:p>
    <w:p>
      <w:pPr>
        <w:ind w:right="720" w:firstLine="486"/>
        <w:spacing w:after="0" w:line="266" w:lineRule="auto"/>
        <w:rPr>
          <w:sz w:val="20"/>
          <w:szCs w:val="20"/>
          <w:color w:val="auto"/>
        </w:rPr>
      </w:pPr>
      <w:r>
        <w:rPr>
          <w:rFonts w:ascii="Times New Roman" w:cs="Times New Roman" w:eastAsia="Times New Roman" w:hAnsi="Times New Roman"/>
          <w:sz w:val="18"/>
          <w:szCs w:val="18"/>
          <w:color w:val="auto"/>
        </w:rPr>
        <w:t>Statements in this Form 10-K apply only as of the date on which such statements are made, and except as required by law, we undertake no obligation to update any statement to reflect events or circumstances after the date on which the statement is made or to reflect the occurrence of unanticipated events.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the financial statements in accordance with generally accepted accounting principles requires management to make judgments, estimates and assumptions regarding uncertainties that affect the reported amounts of assets and liabilities, disclosure of contingent assets and liabilities and the reported amounts of revenues and expenses. Critical areas of uncertainty that require judgments, estimates and assumptions include the accounting for inventories, business combinations, goodwill and indefinite-lived intangible assets, warranty reserves, income taxes, and revenue recognition. Management uses historical experience and all available information to make these judgments and estimates, and actual results may differ from those estimates and assumptions that are used to prepare the Company’s financial statements at any given time. Despite these inherent limitations, management believes that Management’s Discussion and Analysis of Financial Condition and Results of Operations ("MD&amp;A") and the financial statements and related footnotes provide a meaningful and fair perspective of the Company.</w:t>
      </w:r>
    </w:p>
    <w:p>
      <w:pPr>
        <w:spacing w:after="0" w:line="84"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A summary of the Company’s significant accounting policies is included in Note 2 in the “Notes to Consolidated Financial Statements” included in Part II, Item 8 of this report. Management believes that the application of these policies on a consistent basis enables the Company to provide the users of the financial statements with useful and reliable information about the Company’s operating results and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1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Inventories are stated at the lower of cost or net realizable value and are reviewed to ensure that an adequate provision is recognized for excess,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slow moving and obsolete inventories, and net realizable value reserves.</w:t>
      </w:r>
    </w:p>
    <w:p>
      <w:pPr>
        <w:spacing w:after="0" w:line="5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Cost is determined primarily using the first-in, first-out ("FIFO") method. Inventory costs include material, labor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overhead. The Company compares inventory components to prior year sales history, current backlog and anticipated future requirements. To the extent that inventory parts exceed estimated usage and demand, a reserve is recognized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9" w:name="page40"/>
    <w:bookmarkEnd w:id="39"/>
    <w:p>
      <w:pPr>
        <w:ind w:right="180"/>
        <w:spacing w:after="0" w:line="282" w:lineRule="auto"/>
        <w:rPr>
          <w:sz w:val="20"/>
          <w:szCs w:val="20"/>
          <w:color w:val="auto"/>
        </w:rPr>
      </w:pPr>
      <w:r>
        <w:rPr>
          <w:rFonts w:ascii="Times New Roman" w:cs="Times New Roman" w:eastAsia="Times New Roman" w:hAnsi="Times New Roman"/>
          <w:sz w:val="18"/>
          <w:szCs w:val="18"/>
          <w:color w:val="auto"/>
        </w:rPr>
        <w:t>to reduce the carrying value of inventory. Also, specific reserves are established for known inventory obsolescence, a decline in market value, or loss of a customer with specific inventory.</w:t>
      </w:r>
    </w:p>
    <w:p>
      <w:pPr>
        <w:spacing w:after="0" w:line="5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Assumptions </w:t>
      </w:r>
      <w:r>
        <w:rPr>
          <w:rFonts w:ascii="Times New Roman" w:cs="Times New Roman" w:eastAsia="Times New Roman" w:hAnsi="Times New Roman"/>
          <w:sz w:val="18"/>
          <w:szCs w:val="18"/>
          <w:color w:val="auto"/>
        </w:rPr>
        <w:t>If the market value or demand for our products were to decrease due to changing market conditions,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could be at risk of incurring write-downs to adjust inventory value to a net realizable value lower than stated cost. If our estimates regarding sales and backlog requirements are inaccurate, we may be exposed to the expense of increasing our reserves for slow moving and obsolete inventory.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The Company accounts for business acquisitions in accordance with Accounting Standard Codification ("ASC") 805,</w:t>
      </w:r>
      <w:r>
        <w:rPr>
          <w:rFonts w:ascii="Times New Roman" w:cs="Times New Roman" w:eastAsia="Times New Roman" w:hAnsi="Times New Roman"/>
          <w:sz w:val="18"/>
          <w:szCs w:val="18"/>
          <w:i w:val="1"/>
          <w:iCs w:val="1"/>
          <w:color w:val="auto"/>
        </w:rPr>
        <w:t xml:space="preserve"> Business Combinations, </w:t>
      </w:r>
      <w:r>
        <w:rPr>
          <w:rFonts w:ascii="Times New Roman" w:cs="Times New Roman" w:eastAsia="Times New Roman" w:hAnsi="Times New Roman"/>
          <w:sz w:val="18"/>
          <w:szCs w:val="18"/>
          <w:color w:val="auto"/>
        </w:rPr>
        <w:t>which requires the purchase price of the acquired business to be allocated to tangible and intangible assets acquired and liabilities assumed based on the respective fair values. The amount of purchase price which is in excess of the fair values of assets acquired and liabilities assumed is recognized as goodwill.</w:t>
      </w:r>
    </w:p>
    <w:p>
      <w:pPr>
        <w:spacing w:after="0" w:line="7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Discounted cash flow models are used to estimate the fair values of acquired intangible assets such as contract backlog,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relationships, intellectual property, and trade names. The significant assumptions used to estimate the value of the intangible assets include revenue growth rates, projected profit margins, discount rates, royalty rates, customer attrition rates, revenue obsolescence rates and market participant profit margins. These significant assumptions are forward-looking and could be affected by future economic and market conditions.</w:t>
      </w:r>
    </w:p>
    <w:p>
      <w:pPr>
        <w:spacing w:after="0" w:line="72"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Assumptions </w:t>
      </w:r>
      <w:r>
        <w:rPr>
          <w:rFonts w:ascii="Times New Roman" w:cs="Times New Roman" w:eastAsia="Times New Roman" w:hAnsi="Times New Roman"/>
          <w:sz w:val="18"/>
          <w:szCs w:val="18"/>
          <w:color w:val="auto"/>
        </w:rPr>
        <w:t>Different assumptions may result in materially different values for assets acquired and liabilities assumed,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impact the Company's financial position and future results of operations, including potential future impairment charges.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Goodwill represents the excess of cost over the fair value of the net assets acquired in a business combination. Indefinite-lived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represent certain trade names acquired in a business combination that were determined to have indefinite useful lives. Goodwill and indefinite-lived intangibles are required to be tested for impairment at least annually. The Company performs its annual impairment tests during the fourth quarter and more frequently when indicators of impairment are present. The Company reviews goodwill for impairment at the reporting unit level. The Company has identified three reporting units for purposes of testing goodwill for impairment. Two reporting units exist within the Freight segment and the Transit segment is also a reporting unit. The evaluation of impairment involves comparing the current fair value of the business to the recorded value including goodwill.</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A number of significant assumptions and estimates are involved in the application of the impairment test,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identification of macroeconomic conditions, industry and market considerations, cost factors, and overall financial performance. We also consider Wabtec-specific events and share price trends and making the assessment on whether each relevant factor will impact the impairment test positively or negatively and the magnitude of any such amount.</w:t>
      </w:r>
    </w:p>
    <w:p>
      <w:pPr>
        <w:spacing w:after="0" w:line="7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Assumptions </w:t>
      </w:r>
      <w:r>
        <w:rPr>
          <w:rFonts w:ascii="Times New Roman" w:cs="Times New Roman" w:eastAsia="Times New Roman" w:hAnsi="Times New Roman"/>
          <w:sz w:val="18"/>
          <w:szCs w:val="18"/>
          <w:color w:val="auto"/>
        </w:rPr>
        <w:t>Management considers historical experience and all available information at the time the fair values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units are estimated. However, actual amounts realized may differ from those used to evaluate the impairment of goodwill and indefinite lived intangible assets. If actual results are not consistent with our assumptions and judgments used in estimating future cash flows and asset fair values, we may be exposed to impairment losses that could be material to our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Reserves:</w:t>
      </w:r>
    </w:p>
    <w:p>
      <w:pPr>
        <w:spacing w:after="0" w:line="119"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The Company provides warranty reserves to cover expected costs from repairing or replacing products with durability, quality or workmanship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issues occurring during established warranty periods.</w:t>
      </w:r>
    </w:p>
    <w:p>
      <w:pPr>
        <w:spacing w:after="0" w:line="50"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In general, reserves are provided for as a percentage of sales, based on historical experience. In addition, specific reserves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for known warranty issues and their estimable losses.</w:t>
      </w:r>
    </w:p>
    <w:p>
      <w:pPr>
        <w:spacing w:after="0" w:line="50"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Assumptions </w:t>
      </w:r>
      <w:r>
        <w:rPr>
          <w:rFonts w:ascii="Times New Roman" w:cs="Times New Roman" w:eastAsia="Times New Roman" w:hAnsi="Times New Roman"/>
          <w:sz w:val="18"/>
          <w:szCs w:val="18"/>
          <w:color w:val="auto"/>
        </w:rPr>
        <w:t>If actual results are not consistent with the assumptions and judgments used to calculate our warranty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the Company may be exposed to the expense of increasing our reserves for warranty expense.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Wabtec records an estimated liability for income and other taxes based on what it determines will likely be paid in various tax jurisdictions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it operates in accordance with ASC 740-10 </w:t>
      </w:r>
      <w:r>
        <w:rPr>
          <w:rFonts w:ascii="Times New Roman" w:cs="Times New Roman" w:eastAsia="Times New Roman" w:hAnsi="Times New Roman"/>
          <w:sz w:val="18"/>
          <w:szCs w:val="18"/>
          <w:i w:val="1"/>
          <w:iCs w:val="1"/>
          <w:color w:val="auto"/>
        </w:rPr>
        <w:t>Accounting for Income Taxes and Accounting for Uncertainty in Income Taxes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right="7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The estimate of our tax obligations are uncertain because management must use judgment to estimate the exposures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various filing positions, as well as realization of our deferred tax assets. ASC 740-10</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establishes a recognition and measurement threshold to determine the amount of tax benefit that should be recognized related to uncertain tax positions.</w:t>
      </w:r>
    </w:p>
    <w:p>
      <w:pPr>
        <w:spacing w:after="0" w:line="1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Assumptions </w:t>
      </w:r>
      <w:r>
        <w:rPr>
          <w:rFonts w:ascii="Times New Roman" w:cs="Times New Roman" w:eastAsia="Times New Roman" w:hAnsi="Times New Roman"/>
          <w:sz w:val="18"/>
          <w:szCs w:val="18"/>
          <w:color w:val="auto"/>
        </w:rPr>
        <w:t>Management uses its best judgment in the determination of these amounts. However, the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ultimately realized and paid are dependent on various matters including the resolution of the tax audits in the various affected tax jurisdictions and may differ from the amounts recorded. An adjustment to the estimated liability would be recorded through income in the period in which new information changes the expected outcome of an uncertain tax position. A deferred tax valuation allowance is provided when it is more likely than not that some portion or all of the deferred tax assets will not be realized.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Revenue is recognized in accordance with ASC 606</w:t>
      </w:r>
      <w:r>
        <w:rPr>
          <w:rFonts w:ascii="Times New Roman" w:cs="Times New Roman" w:eastAsia="Times New Roman" w:hAnsi="Times New Roman"/>
          <w:sz w:val="18"/>
          <w:szCs w:val="18"/>
          <w:i w:val="1"/>
          <w:iCs w:val="1"/>
          <w:color w:val="auto"/>
        </w:rPr>
        <w:t xml:space="preserve"> Revenue from Contracts with Customers</w:t>
      </w:r>
      <w:r>
        <w:rPr>
          <w:rFonts w:ascii="Times New Roman" w:cs="Times New Roman" w:eastAsia="Times New Roman" w:hAnsi="Times New Roman"/>
          <w:sz w:val="18"/>
          <w:szCs w:val="18"/>
          <w:color w:val="auto"/>
        </w:rPr>
        <w:t>. The Company recognizes a portion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on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Generally, the Company uses an input method for determining the amount of revenue, cost and gross margin to recognize over time for these customer agreements. The input method used for these agreements recognizes revenue based on our efforts to satisfy the performance obligation and includes costs of material and labor, both of which give an accurate representation of the progress made toward complete satisfaction of a particular performance obligation. The Company may also use the output method which recognizes revenue based on direct measurements of the value transferred to the customer.</w:t>
      </w:r>
    </w:p>
    <w:p>
      <w:pPr>
        <w:spacing w:after="0" w:line="7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Accounting for long-term customer agreements involves a judgmental process of estimating the total sales and costs for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which results in the development of estimated profit margin percentages.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Factors that influence these estimates include inflationary trends, foreign exchange rates, technical and schedule risk, internal and subcontractor performance trends, business volume assumptions, asset utilization, and anticipated labor agreements. Generally, pricing is defined in our contracts but may include an estimate of variable consideration when required by the terms of the individual customer contract. Types of variable consideration that the Company typically has include volume discounts, prompt payment discounts, price escalation clauses, liquidating damages, and performance bonuses.</w:t>
      </w:r>
    </w:p>
    <w:p>
      <w:pPr>
        <w:spacing w:after="0" w:line="7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Assumptions </w:t>
      </w:r>
      <w:r>
        <w:rPr>
          <w:rFonts w:ascii="Times New Roman" w:cs="Times New Roman" w:eastAsia="Times New Roman" w:hAnsi="Times New Roman"/>
          <w:sz w:val="18"/>
          <w:szCs w:val="18"/>
          <w:color w:val="auto"/>
        </w:rPr>
        <w:t>Should market conditions and customer demands dictate changes to our standard shipping terms,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be impacted by longer than typical revenue recognition cycles. The development of expected contract costs and contract profit margin percentages involves procedures and personnel in all areas that provide financial or production information on the status of contracts. Due to the significance of judgments in the estimation process, it is likely that materially different revenue and cost amounts could be recorded if we used different assumptions or if the underlying circumstances were to change. Changes in underlying assumptions/estimates, inflation or deflation, foreign currency exchange rates, supplier performance, or other circumstances may adversely or positively affect financial performance in future periods. Some of our contracts are expected to be completed in a loss position. Provisions are made currently for estimated losses on uncompleted contracts and are updated as necessary.</w:t>
      </w:r>
    </w:p>
    <w:p>
      <w:pPr>
        <w:spacing w:after="0" w:line="115"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market risk sensitive instruments were entered into for non-trading purposes.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Wabtec is exposed to risks that increases in interest rates may adversely affect funding costs associated with its available variable-rate debt facilities or new debt issuances. At December 31, 2025, the Company's interest risk related to variable-rate debt was limited to the amounts borrowed under the 2025 Credit Agreement and the 2025 Term Credit Agreement. At December 31, 2024, the Company's interest rate risk related to variable-rate debt was limited to the amounts borrowed and outstanding under the Delayed Draw Term Loan and the Term Loan.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ind w:right="260" w:firstLine="486"/>
        <w:spacing w:after="0" w:line="258" w:lineRule="auto"/>
        <w:rPr>
          <w:sz w:val="20"/>
          <w:szCs w:val="20"/>
          <w:color w:val="auto"/>
        </w:rPr>
      </w:pPr>
      <w:r>
        <w:rPr>
          <w:rFonts w:ascii="Times New Roman" w:cs="Times New Roman" w:eastAsia="Times New Roman" w:hAnsi="Times New Roman"/>
          <w:sz w:val="18"/>
          <w:szCs w:val="18"/>
          <w:color w:val="auto"/>
        </w:rPr>
        <w:t>The Company is exposed to certain risks associated with changes in foreign currency exchange rates to the extent our operations are conducted in currencies other than the U.S. dollar. To reduce the impact of changes in currency exchange rates, the Company has periodically entered into foreign currency forward contracts. Refer to "Summary of Significant Accounting Policies" in Note 2, “Fair Value Measurement and Derivative Instruments” in Note 17 and "Segment Information" in Note 19 of “Notes to Consolidated Financial Statements” included in Part II, Item 8 of this report for more information regarding foreign currency exchange risk and sales by geographic area.</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1" w:name="page42"/>
    <w:bookmarkEnd w:id="41"/>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REPORTS TO WABTEC SHAREHOLDERS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Financial Statements and Practices</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of Westinghouse Air Brake Technologies Corporation and subsidiaries (the “Company”) were prepared by Management, which is responsible for their integrity and objectivity. The statements were prepared in accordance with U.S. generally accepted accounting principles and include amounts that are based on Management’s best judgments and estimates. The other financial information included in the Form 10-K is consistent with that in the financial statements.</w:t>
      </w:r>
    </w:p>
    <w:p>
      <w:pPr>
        <w:spacing w:after="0" w:line="72"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Management also recognizes its responsibility for conducting the Company’s affairs according to the highest standards of personal and corporate conduct. This responsibility is characterized and reflected in key policy statements issued from time to time regarding, among other things, conduct of its business activities within the laws of host countries in which the Company operates and potentially conflicting outside business interests of its employees. The Company maintains a systematic program to assess compliance with these policies.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for the Company. In order to evaluate the effectiveness of internal control over financial reporting, as required by Section 404 of the Sarbanes-Oxley Act, Management has conducted an assessment, including testing, using the criteria in Internal Control-Integrated Framework issued by the Committee of Sponsoring Organizations of the Treadway Commission (2013 Framework) (COSO). The Company’s system of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4"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During 2025, the Company completed the acquisitions of Continental Railworks Technology I Inc., Dotnetix Proprietary Limited and Dotnetix SA Proprietary Limited, Evident's Inspection Technologies Division, and Frauscher Sensor Technology Group GmbH, and is currently integrating the acquisitions into its operations, compliance programs and internal control processes and as such, has excluded the acquisitions from its assessment of internal controls over financial reporting as of December 31, 2025. The acquisitions are all subsidiaries whose combined total assets represent 2.4% and combined net sales represent 2.5% of the related consolidated financial statement amounts as of and for the year ended December 31, 2025.</w:t>
      </w:r>
    </w:p>
    <w:p>
      <w:pPr>
        <w:spacing w:after="0" w:line="7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Based on its assessment, Management has concluded that the Company maintained effective internal control over financial reporting as of December 31, 2025, based on criteria in Internal Control-Integrated Framework issued by the COSO. The effectiveness of the Company’s internal control over financial reporting as of December 31, 2025, has been audited by Ernst &amp; Young LLP,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40" w:lineRule="exact"/>
        <w:rPr>
          <w:sz w:val="20"/>
          <w:szCs w:val="20"/>
          <w:color w:val="auto"/>
        </w:rPr>
      </w:pPr>
    </w:p>
    <w:p>
      <w:pPr>
        <w:ind w:right="3900"/>
        <w:spacing w:after="0" w:line="414" w:lineRule="auto"/>
        <w:rPr>
          <w:sz w:val="20"/>
          <w:szCs w:val="20"/>
          <w:color w:val="auto"/>
        </w:rPr>
      </w:pPr>
      <w:r>
        <w:rPr>
          <w:rFonts w:ascii="Times New Roman" w:cs="Times New Roman" w:eastAsia="Times New Roman" w:hAnsi="Times New Roman"/>
          <w:sz w:val="18"/>
          <w:szCs w:val="18"/>
          <w:color w:val="auto"/>
        </w:rPr>
        <w:t xml:space="preserve">To the Shareholders and the Board of Directors of Westinghouse Air Brake Technologies Corporation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Westinghouse Air Brake Technologies Corporation (the Company) as of December 31, 2025 and 2024, the related consolidated statements of income, comprehensive income, cash flows and shareholders' equity for each of the three years in the period ended December 31, 2025, and the related notes and financial statement schedule listed in the Index at Item 15(2)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0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w:t>
      </w:r>
      <w:r>
        <w:rPr>
          <w:rFonts w:ascii="Arial" w:cs="Arial" w:eastAsia="Arial" w:hAnsi="Arial"/>
          <w:sz w:val="18"/>
          <w:szCs w:val="18"/>
          <w:color w:val="auto"/>
        </w:rPr>
        <w:t>—</w:t>
      </w:r>
      <w:r>
        <w:rPr>
          <w:rFonts w:ascii="Times New Roman" w:cs="Times New Roman" w:eastAsia="Times New Roman" w:hAnsi="Times New Roman"/>
          <w:sz w:val="18"/>
          <w:szCs w:val="18"/>
          <w:color w:val="auto"/>
        </w:rPr>
        <w:t>Integrated Framework issued by the Committee of Sponsoring Organizations of the Treadway Commission (2013 framework), and our report dated February 13, 2026 expressed an unqualified opinion thereon.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4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sectPr>
      </w:pPr>
    </w:p>
    <w:bookmarkStart w:id="43" w:name="page44"/>
    <w:bookmarkEnd w:id="43"/>
    <w:p>
      <w:pPr>
        <w:ind w:left="1960"/>
        <w:spacing w:after="0"/>
        <w:rPr>
          <w:sz w:val="20"/>
          <w:szCs w:val="20"/>
          <w:color w:val="auto"/>
        </w:rPr>
      </w:pPr>
      <w:r>
        <w:rPr>
          <w:rFonts w:ascii="Times New Roman" w:cs="Times New Roman" w:eastAsia="Times New Roman" w:hAnsi="Times New Roman"/>
          <w:sz w:val="18"/>
          <w:szCs w:val="18"/>
          <w:b w:val="1"/>
          <w:bCs w:val="1"/>
          <w:i w:val="1"/>
          <w:iCs w:val="1"/>
          <w:color w:val="auto"/>
        </w:rPr>
        <w:t>Over Time Revenue Recognition for Long-Term Contracts</w:t>
      </w:r>
    </w:p>
    <w:p>
      <w:pPr>
        <w:spacing w:after="0" w:line="52" w:lineRule="exact"/>
        <w:rPr>
          <w:sz w:val="20"/>
          <w:szCs w:val="20"/>
          <w:color w:val="auto"/>
        </w:rPr>
      </w:pPr>
    </w:p>
    <w:p>
      <w:pPr>
        <w:ind w:left="1960" w:right="20" w:hanging="1956"/>
        <w:spacing w:after="0" w:line="247" w:lineRule="auto"/>
        <w:rPr>
          <w:sz w:val="20"/>
          <w:szCs w:val="20"/>
          <w:color w:val="auto"/>
        </w:rPr>
      </w:pPr>
      <w:r>
        <w:rPr>
          <w:rFonts w:ascii="Times New Roman" w:cs="Times New Roman" w:eastAsia="Times New Roman" w:hAnsi="Times New Roman"/>
          <w:sz w:val="18"/>
          <w:szCs w:val="18"/>
          <w:i w:val="1"/>
          <w:iCs w:val="1"/>
          <w:color w:val="333333"/>
        </w:rPr>
        <w:t xml:space="preserve">Description of the Matter </w:t>
      </w:r>
      <w:r>
        <w:rPr>
          <w:rFonts w:ascii="Times New Roman" w:cs="Times New Roman" w:eastAsia="Times New Roman" w:hAnsi="Times New Roman"/>
          <w:sz w:val="18"/>
          <w:szCs w:val="18"/>
          <w:color w:val="000000"/>
        </w:rPr>
        <w:t>As described in Note 2 to the consolidated financial statements, the Company has long-term customer arrangements</w:t>
      </w:r>
      <w:r>
        <w:rPr>
          <w:rFonts w:ascii="Times New Roman" w:cs="Times New Roman" w:eastAsia="Times New Roman" w:hAnsi="Times New Roman"/>
          <w:sz w:val="18"/>
          <w:szCs w:val="18"/>
          <w:i w:val="1"/>
          <w:iCs w:val="1"/>
          <w:color w:val="333333"/>
        </w:rPr>
        <w:t xml:space="preserve"> </w:t>
      </w:r>
      <w:r>
        <w:rPr>
          <w:rFonts w:ascii="Times New Roman" w:cs="Times New Roman" w:eastAsia="Times New Roman" w:hAnsi="Times New Roman"/>
          <w:sz w:val="18"/>
          <w:szCs w:val="18"/>
          <w:color w:val="000000"/>
        </w:rPr>
        <w:t>involving the design and production of highly engineered products that require revenue to be recognized over time. The Company uses input-based measures for determining the amount of revenue, cost, and gross margin to recognize over time for these customer arrangements. The inputs used for these arrangements include costs of material and labor. During the year ended December 31, 2025, a material amount of the Company's total revenues were derived from performance obligations that are satisfied over time.</w:t>
      </w:r>
    </w:p>
    <w:p>
      <w:pPr>
        <w:spacing w:after="0" w:line="209" w:lineRule="exact"/>
        <w:rPr>
          <w:sz w:val="20"/>
          <w:szCs w:val="20"/>
          <w:color w:val="auto"/>
        </w:rPr>
      </w:pPr>
    </w:p>
    <w:p>
      <w:pPr>
        <w:ind w:left="1960" w:right="160"/>
        <w:spacing w:after="0" w:line="247" w:lineRule="auto"/>
        <w:rPr>
          <w:sz w:val="20"/>
          <w:szCs w:val="20"/>
          <w:color w:val="auto"/>
        </w:rPr>
      </w:pPr>
      <w:r>
        <w:rPr>
          <w:rFonts w:ascii="Times New Roman" w:cs="Times New Roman" w:eastAsia="Times New Roman" w:hAnsi="Times New Roman"/>
          <w:sz w:val="18"/>
          <w:szCs w:val="18"/>
          <w:color w:val="auto"/>
        </w:rPr>
        <w:t>Auditing the Company's measurement of revenue recognized over time on long-term contracts is especially challenging because it involves subjective management assumptions regarding the estimated remaining costs of the long-term contracts that could span several years. These assumptions could be impacted by the future cost of materials, labor availability and productivity, complexity of the work to be performed, and the performance of suppliers, customers and subcontractors that may be associated with the contracts and may be affected by future market or economic conditions.</w:t>
      </w:r>
    </w:p>
    <w:p>
      <w:pPr>
        <w:spacing w:after="0" w:line="16"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i w:val="1"/>
          <w:iCs w:val="1"/>
          <w:color w:val="333333"/>
        </w:rPr>
        <w:t>How We Addressed the</w:t>
      </w:r>
      <w:r>
        <w:rPr>
          <w:sz w:val="20"/>
          <w:szCs w:val="20"/>
          <w:color w:val="auto"/>
        </w:rPr>
        <w:tab/>
      </w:r>
      <w:r>
        <w:rPr>
          <w:rFonts w:ascii="Times New Roman" w:cs="Times New Roman" w:eastAsia="Times New Roman" w:hAnsi="Times New Roman"/>
          <w:sz w:val="17"/>
          <w:szCs w:val="17"/>
          <w:color w:val="auto"/>
        </w:rPr>
        <w:t>We obtained an understanding, evaluated the design, and tested the operating effectiveness of controls over the</w:t>
      </w:r>
    </w:p>
    <w:p>
      <w:pPr>
        <w:spacing w:after="0" w:line="18" w:lineRule="exact"/>
        <w:rPr>
          <w:sz w:val="20"/>
          <w:szCs w:val="20"/>
          <w:color w:val="auto"/>
        </w:rPr>
      </w:pPr>
    </w:p>
    <w:p>
      <w:pPr>
        <w:ind w:left="1960" w:right="280" w:hanging="1956"/>
        <w:spacing w:after="0" w:line="258" w:lineRule="auto"/>
        <w:tabs>
          <w:tab w:leader="none" w:pos="1940" w:val="left"/>
        </w:tabs>
        <w:rPr>
          <w:sz w:val="20"/>
          <w:szCs w:val="20"/>
          <w:color w:val="auto"/>
        </w:rPr>
      </w:pPr>
      <w:r>
        <w:rPr>
          <w:rFonts w:ascii="Times New Roman" w:cs="Times New Roman" w:eastAsia="Times New Roman" w:hAnsi="Times New Roman"/>
          <w:sz w:val="18"/>
          <w:szCs w:val="18"/>
          <w:i w:val="1"/>
          <w:iCs w:val="1"/>
          <w:color w:val="333333"/>
        </w:rPr>
        <w:t>Matter in Our Audit</w:t>
      </w:r>
      <w:r>
        <w:rPr>
          <w:sz w:val="20"/>
          <w:szCs w:val="20"/>
          <w:color w:val="auto"/>
        </w:rPr>
        <w:tab/>
      </w:r>
      <w:r>
        <w:rPr>
          <w:rFonts w:ascii="Times New Roman" w:cs="Times New Roman" w:eastAsia="Times New Roman" w:hAnsi="Times New Roman"/>
          <w:sz w:val="18"/>
          <w:szCs w:val="18"/>
          <w:color w:val="auto"/>
        </w:rPr>
        <w:t>Company's process to recognize revenue over time on long-term contracts, including controls over management’s review of the significant underlying assumptions described above.</w:t>
      </w:r>
    </w:p>
    <w:p>
      <w:pPr>
        <w:spacing w:after="0" w:line="183" w:lineRule="exact"/>
        <w:rPr>
          <w:sz w:val="20"/>
          <w:szCs w:val="20"/>
          <w:color w:val="auto"/>
        </w:rPr>
      </w:pPr>
    </w:p>
    <w:p>
      <w:pPr>
        <w:ind w:left="1960"/>
        <w:spacing w:after="0" w:line="231" w:lineRule="auto"/>
        <w:rPr>
          <w:sz w:val="20"/>
          <w:szCs w:val="20"/>
          <w:color w:val="auto"/>
        </w:rPr>
      </w:pPr>
      <w:r>
        <w:rPr>
          <w:rFonts w:ascii="Times New Roman" w:cs="Times New Roman" w:eastAsia="Times New Roman" w:hAnsi="Times New Roman"/>
          <w:sz w:val="18"/>
          <w:szCs w:val="18"/>
          <w:color w:val="24282D"/>
        </w:rPr>
        <w:t>Our audit procedures also included, among others, evaluating the significant assumptions and the accuracy and completeness of the underlying data used in management's calculations. This included, for example, inspection of the executed contracts and testing management's cost estimates by comparing the inputs to the Company’s historical data or experience for similar contracts, the performance of sensitivity analysis and the performance of retrospective review analysis of prior management cost estimates to actual costs incurred for completed contracts. In addition, for certain contracts, we involved our internal valuation specialists to assist in our evaluation of management’s cost estimates at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40" w:top="941" w:right="1139" w:bottom="1440" w:gutter="0" w:footer="0" w:header="0"/>
        </w:sectPr>
      </w:pPr>
    </w:p>
    <w:bookmarkStart w:id="44" w:name="page45"/>
    <w:bookmarkEnd w:id="44"/>
    <w:p>
      <w:pPr>
        <w:ind w:left="1980"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Valuation of Customer Relationships Intangible Asset in the Acquisition of Evident’s Inspection Technologies Division</w:t>
      </w:r>
    </w:p>
    <w:p>
      <w:pPr>
        <w:spacing w:after="0" w:line="7" w:lineRule="exact"/>
        <w:rPr>
          <w:sz w:val="20"/>
          <w:szCs w:val="20"/>
          <w:color w:val="auto"/>
        </w:rPr>
      </w:pPr>
    </w:p>
    <w:p>
      <w:pPr>
        <w:ind w:left="1980" w:right="240" w:hanging="1956"/>
        <w:spacing w:after="0" w:line="251" w:lineRule="auto"/>
        <w:rPr>
          <w:sz w:val="20"/>
          <w:szCs w:val="20"/>
          <w:color w:val="auto"/>
        </w:rPr>
      </w:pPr>
      <w:r>
        <w:rPr>
          <w:rFonts w:ascii="Times New Roman" w:cs="Times New Roman" w:eastAsia="Times New Roman" w:hAnsi="Times New Roman"/>
          <w:sz w:val="18"/>
          <w:szCs w:val="18"/>
          <w:i w:val="1"/>
          <w:iCs w:val="1"/>
          <w:color w:val="333333"/>
        </w:rPr>
        <w:t xml:space="preserve">Description of the Matter </w:t>
      </w:r>
      <w:r>
        <w:rPr>
          <w:rFonts w:ascii="Times New Roman" w:cs="Times New Roman" w:eastAsia="Times New Roman" w:hAnsi="Times New Roman"/>
          <w:sz w:val="18"/>
          <w:szCs w:val="18"/>
          <w:color w:val="000000"/>
        </w:rPr>
        <w:t>As discussed in Note 3 to the consolidated financial statements, on July 1, 2025, the Company acquired Evident’s</w:t>
      </w:r>
      <w:r>
        <w:rPr>
          <w:rFonts w:ascii="Times New Roman" w:cs="Times New Roman" w:eastAsia="Times New Roman" w:hAnsi="Times New Roman"/>
          <w:sz w:val="18"/>
          <w:szCs w:val="18"/>
          <w:i w:val="1"/>
          <w:iCs w:val="1"/>
          <w:color w:val="333333"/>
        </w:rPr>
        <w:t xml:space="preserve"> </w:t>
      </w:r>
      <w:r>
        <w:rPr>
          <w:rFonts w:ascii="Times New Roman" w:cs="Times New Roman" w:eastAsia="Times New Roman" w:hAnsi="Times New Roman"/>
          <w:sz w:val="18"/>
          <w:szCs w:val="18"/>
          <w:color w:val="000000"/>
        </w:rPr>
        <w:t>Inspection Technologies division (“Inspection Technologies”). The transaction was accounted for under the acquisition method of accounting. The Company preliminarily determined the fair value of the identified customer relationships intangible asset to be $411 million using an income approach.</w:t>
      </w:r>
    </w:p>
    <w:p>
      <w:pPr>
        <w:spacing w:after="0" w:line="203" w:lineRule="exact"/>
        <w:rPr>
          <w:sz w:val="20"/>
          <w:szCs w:val="20"/>
          <w:color w:val="auto"/>
        </w:rPr>
      </w:pPr>
    </w:p>
    <w:p>
      <w:pPr>
        <w:ind w:left="1980"/>
        <w:spacing w:after="0" w:line="245" w:lineRule="auto"/>
        <w:rPr>
          <w:sz w:val="20"/>
          <w:szCs w:val="20"/>
          <w:color w:val="auto"/>
        </w:rPr>
      </w:pPr>
      <w:r>
        <w:rPr>
          <w:rFonts w:ascii="Times New Roman" w:cs="Times New Roman" w:eastAsia="Times New Roman" w:hAnsi="Times New Roman"/>
          <w:sz w:val="18"/>
          <w:szCs w:val="18"/>
          <w:color w:val="auto"/>
        </w:rPr>
        <w:t>Auditing the Company’s valuation of the acquired customer relationships intangible asset was complex due to estimation uncertainty in determining the fair value. The estimation uncertainty was primarily due to the sensitivity of the fair value of the customer relationships intangible asset to underlying assumptions about the future performance of the acquired Inspection Technologies business. The significant assumptions used to estimate the fair value of the customer relationships intangible asset included a discount rate and certain assumptions that form the basis of the forecasted results (future revenue and earnings before interest, taxes, depreciation, and amortization margin). These significant assumptions are forward looking and could be affected by future economic and market conditions.</w:t>
      </w:r>
    </w:p>
    <w:p>
      <w:pPr>
        <w:spacing w:after="0" w:line="274" w:lineRule="exact"/>
        <w:rPr>
          <w:sz w:val="20"/>
          <w:szCs w:val="20"/>
          <w:color w:val="auto"/>
        </w:rPr>
      </w:pPr>
    </w:p>
    <w:p>
      <w:pPr>
        <w:ind w:left="20"/>
        <w:spacing w:after="0"/>
        <w:tabs>
          <w:tab w:leader="none" w:pos="1960" w:val="left"/>
        </w:tabs>
        <w:rPr>
          <w:sz w:val="20"/>
          <w:szCs w:val="20"/>
          <w:color w:val="auto"/>
        </w:rPr>
      </w:pPr>
      <w:r>
        <w:rPr>
          <w:rFonts w:ascii="Times New Roman" w:cs="Times New Roman" w:eastAsia="Times New Roman" w:hAnsi="Times New Roman"/>
          <w:sz w:val="18"/>
          <w:szCs w:val="18"/>
          <w:i w:val="1"/>
          <w:iCs w:val="1"/>
          <w:color w:val="333333"/>
        </w:rPr>
        <w:t>How We Addressed the</w:t>
      </w:r>
      <w:r>
        <w:rPr>
          <w:sz w:val="20"/>
          <w:szCs w:val="20"/>
          <w:color w:val="auto"/>
        </w:rPr>
        <w:tab/>
      </w:r>
      <w:r>
        <w:rPr>
          <w:rFonts w:ascii="Times New Roman" w:cs="Times New Roman" w:eastAsia="Times New Roman" w:hAnsi="Times New Roman"/>
          <w:sz w:val="17"/>
          <w:szCs w:val="17"/>
          <w:color w:val="auto"/>
        </w:rPr>
        <w:t>We obtained an understanding, evaluated the design, and tested the operating effectiveness of controls over the</w:t>
      </w:r>
    </w:p>
    <w:p>
      <w:pPr>
        <w:spacing w:after="0" w:line="18" w:lineRule="exact"/>
        <w:rPr>
          <w:sz w:val="20"/>
          <w:szCs w:val="20"/>
          <w:color w:val="auto"/>
        </w:rPr>
      </w:pPr>
    </w:p>
    <w:p>
      <w:pPr>
        <w:jc w:val="both"/>
        <w:ind w:left="1980" w:right="140" w:hanging="1956"/>
        <w:spacing w:after="0" w:line="246" w:lineRule="auto"/>
        <w:tabs>
          <w:tab w:leader="none" w:pos="1960" w:val="left"/>
        </w:tabs>
        <w:rPr>
          <w:sz w:val="20"/>
          <w:szCs w:val="20"/>
          <w:color w:val="auto"/>
        </w:rPr>
      </w:pPr>
      <w:r>
        <w:rPr>
          <w:rFonts w:ascii="Times New Roman" w:cs="Times New Roman" w:eastAsia="Times New Roman" w:hAnsi="Times New Roman"/>
          <w:sz w:val="18"/>
          <w:szCs w:val="18"/>
          <w:i w:val="1"/>
          <w:iCs w:val="1"/>
          <w:color w:val="333333"/>
        </w:rPr>
        <w:t>Matter in Our Audit</w:t>
      </w:r>
      <w:r>
        <w:rPr>
          <w:sz w:val="20"/>
          <w:szCs w:val="20"/>
          <w:color w:val="auto"/>
        </w:rPr>
        <w:tab/>
      </w:r>
      <w:r>
        <w:rPr>
          <w:rFonts w:ascii="Times New Roman" w:cs="Times New Roman" w:eastAsia="Times New Roman" w:hAnsi="Times New Roman"/>
          <w:sz w:val="18"/>
          <w:szCs w:val="18"/>
          <w:color w:val="auto"/>
        </w:rPr>
        <w:t>Company’s process to estimate the fair value of the acquired customer relationships intangible asset. We also tested controls over management’s review of the significant assumptions used in the fair value calculation described above and management’s review of the valuation model.</w:t>
      </w:r>
    </w:p>
    <w:p>
      <w:pPr>
        <w:spacing w:after="0" w:line="208" w:lineRule="exact"/>
        <w:rPr>
          <w:sz w:val="20"/>
          <w:szCs w:val="20"/>
          <w:color w:val="auto"/>
        </w:rPr>
      </w:pPr>
    </w:p>
    <w:p>
      <w:pPr>
        <w:ind w:left="1980" w:right="60"/>
        <w:spacing w:after="0" w:line="244" w:lineRule="auto"/>
        <w:rPr>
          <w:sz w:val="20"/>
          <w:szCs w:val="20"/>
          <w:color w:val="auto"/>
        </w:rPr>
      </w:pPr>
      <w:r>
        <w:rPr>
          <w:rFonts w:ascii="Times New Roman" w:cs="Times New Roman" w:eastAsia="Times New Roman" w:hAnsi="Times New Roman"/>
          <w:sz w:val="18"/>
          <w:szCs w:val="18"/>
          <w:color w:val="auto"/>
        </w:rPr>
        <w:t>To test the estimated fair value of the acquired customer relationships intangible asset, our audit procedures included, among others, evaluating the Company's use of the income approach, testing the significant assumptions described above, and testing the completeness and accuracy of the underlying data supporting the significant assumptions and estimates. For example, we compared the significant assumptions used by management to observable market data, current industry and economic trends, and actual operating results realized subsequent to the acquisition. We also performed sensitivity analyses of the significant assumptions to evaluate the changes in the fair value of customer relationships intangible asset resulting from changes in the significant assumptions. In addition, we involved our valuation specialists to assist in our evaluation of the methodologies and certain significant assumptions used by the Company, such as the discount rate.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941" w:right="109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ind w:right="3900"/>
        <w:spacing w:after="0" w:line="406" w:lineRule="auto"/>
        <w:rPr>
          <w:sz w:val="20"/>
          <w:szCs w:val="20"/>
          <w:color w:val="auto"/>
        </w:rPr>
      </w:pPr>
      <w:r>
        <w:rPr>
          <w:rFonts w:ascii="Times New Roman" w:cs="Times New Roman" w:eastAsia="Times New Roman" w:hAnsi="Times New Roman"/>
          <w:sz w:val="18"/>
          <w:szCs w:val="18"/>
          <w:color w:val="auto"/>
        </w:rPr>
        <w:t xml:space="preserve">To the Shareholders and the Board of Directors of Westinghouse Air Brake Technologies Corporation </w:t>
      </w:r>
      <w:r>
        <w:rPr>
          <w:rFonts w:ascii="Times New Roman" w:cs="Times New Roman" w:eastAsia="Times New Roman" w:hAnsi="Times New Roman"/>
          <w:sz w:val="18"/>
          <w:szCs w:val="18"/>
          <w:b w:val="1"/>
          <w:bCs w:val="1"/>
          <w:color w:val="auto"/>
        </w:rPr>
        <w:t>Opinion on Internal Control Over Financial Reporting</w:t>
      </w:r>
    </w:p>
    <w:p>
      <w:pPr>
        <w:spacing w:after="0" w:line="2"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We have audited Westinghouse Air Brake Technologies Corporation’s internal control over financial reporting as of December 31, 2025, based on criteria established in Internal Control—Integrated Framework issued by the Committee of Sponsoring Organizations of the Treadway Commission (2013 framework) (the COSO criteria). In our opinion, Westinghouse Air Brake Technologies Corporation (the Company) maintained, in all material respects, effective internal control over financial reporting as of December 31, 2025, based on the COSO criteria.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Continental Railworks Technology I Inc., Dotnetix Proprietary Limited and Dotnetix SA Proprietary Limited, Evident's Inspection Technologies Division, and Frauscher Sensor Technology Group GmbH, which are included in the 2025 consolidated financial statements of the Company and constituted 2.4% of total assets as of December 31, 2025 and 2.5% of net sales, for the year then ended. Our audit of internal control over financial reporting of the Company also did not include an evaluation of the internal control over financial reporting of Continental Railworks Technology I Inc., Dotnetix Proprietary Limited and Dotnetix SA Proprietary Limited, Evident's Inspection Technologies Division, and Frauscher Sensor Technology Group GmbH.</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income, comprehensive income, cash flows and shareholders’ equity for each of the three years in the period ended December 31, 2025, and the related notes and financial statement schedule listed in the Index at Item 15(2) and our report dated February 13, 2026 expressed an unqualified opinion thereon.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46" w:name="page47"/>
    <w:bookmarkEnd w:id="46"/>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WESTINGHOUSE AIR BRAKE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4"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par value</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19"/>
              <w:spacing w:after="0" w:line="161"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19"/>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700" w:type="dxa"/>
            <w:vAlign w:val="bottom"/>
            <w:tcBorders>
              <w:top w:val="single" w:sz="8" w:color="auto"/>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760" w:type="dxa"/>
            <w:vAlign w:val="bottom"/>
            <w:shd w:val="clear" w:color="auto" w:fill="CCEEFF"/>
          </w:tcPr>
          <w:p>
            <w:pPr>
              <w:jc w:val="center"/>
              <w:ind w:right="1739"/>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noncurrent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22,069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760" w:type="dxa"/>
            <w:vAlign w:val="bottom"/>
            <w:shd w:val="clear" w:color="auto" w:fill="CCEEFF"/>
          </w:tcPr>
          <w:p>
            <w:pPr>
              <w:jc w:val="center"/>
              <w:ind w:right="1739"/>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Customer deposits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warranty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$.01 par value; 500.0 shares authorized; 171.9 shares issued and 170.6 outstanding at December 31, 2025;</w:t>
            </w: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226.9 shares issued and 171.3 outstanding at December 31, 2024</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Treasury stock, at cost, 1.3 and 55.6 shares, at December 31, 2025 and 2024, respectively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Westinghouse Air Brake Technologies Corporation shareholders’ equity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4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22,069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90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WESTINGHOUSE AIR BRAKE TECHNOLOGIES CORPORATION</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90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Sales of goods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of services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Cost of goods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94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Total cost of sales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Engineering expenses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9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and expenses: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9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9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9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9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bl>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580" w:type="dxa"/>
            <w:vAlign w:val="bottom"/>
            <w:gridSpan w:val="4"/>
          </w:tcPr>
          <w:p>
            <w:pPr>
              <w:ind w:left="2040"/>
              <w:spacing w:after="0"/>
              <w:rPr>
                <w:sz w:val="20"/>
                <w:szCs w:val="20"/>
                <w:color w:val="auto"/>
              </w:rPr>
            </w:pPr>
            <w:r>
              <w:rPr>
                <w:rFonts w:ascii="Times New Roman" w:cs="Times New Roman" w:eastAsia="Times New Roman" w:hAnsi="Times New Roman"/>
                <w:sz w:val="18"/>
                <w:szCs w:val="18"/>
                <w:b w:val="1"/>
                <w:bCs w:val="1"/>
                <w:color w:val="auto"/>
              </w:rPr>
              <w:t>WESTINGHOUSE AIR BRAKE TECHNOLOGIES CORPORATION</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580" w:type="dxa"/>
            <w:vAlign w:val="bottom"/>
            <w:gridSpan w:val="4"/>
          </w:tcPr>
          <w:p>
            <w:pPr>
              <w:ind w:left="20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2"/>
        </w:trPr>
        <w:tc>
          <w:tcPr>
            <w:tcW w:w="20" w:type="dxa"/>
            <w:vAlign w:val="bottom"/>
          </w:tcPr>
          <w:p>
            <w:pPr>
              <w:spacing w:after="0"/>
              <w:rPr>
                <w:sz w:val="15"/>
                <w:szCs w:val="15"/>
                <w:color w:val="auto"/>
              </w:rPr>
            </w:pPr>
          </w:p>
        </w:tc>
        <w:tc>
          <w:tcPr>
            <w:tcW w:w="69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23"/>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derivative contracts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20" w:type="dxa"/>
            <w:vAlign w:val="bottom"/>
            <w:tcBorders>
              <w:bottom w:val="single" w:sz="8" w:color="CCEEFF"/>
            </w:tcBorders>
          </w:tcPr>
          <w:p>
            <w:pPr>
              <w:spacing w:after="0"/>
              <w:rPr>
                <w:sz w:val="19"/>
                <w:szCs w:val="19"/>
                <w:color w:val="auto"/>
              </w:rPr>
            </w:pPr>
          </w:p>
        </w:tc>
        <w:tc>
          <w:tcPr>
            <w:tcW w:w="6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Unrealized (loss) gain on pension benefit plans and post-retirement benefit plans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related to components of other comprehensive income (loss)</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94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20" w:type="dxa"/>
            <w:vAlign w:val="bottom"/>
          </w:tcPr>
          <w:p>
            <w:pPr>
              <w:spacing w:after="0"/>
              <w:rPr>
                <w:sz w:val="19"/>
                <w:szCs w:val="19"/>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Comprehensive income attributable to Wabtec shareholders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580" w:type="dxa"/>
            <w:vAlign w:val="bottom"/>
            <w:gridSpan w:val="4"/>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WESTINGHOUSE AIR BRAKE TECHNOLOGIES CORPORATION</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580" w:type="dxa"/>
            <w:vAlign w:val="bottom"/>
            <w:gridSpan w:val="4"/>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3"/>
        </w:trPr>
        <w:tc>
          <w:tcPr>
            <w:tcW w:w="20" w:type="dxa"/>
            <w:vAlign w:val="bottom"/>
          </w:tcPr>
          <w:p>
            <w:pPr>
              <w:spacing w:after="0"/>
              <w:rPr>
                <w:sz w:val="15"/>
                <w:szCs w:val="15"/>
                <w:color w:val="auto"/>
              </w:rPr>
            </w:pPr>
          </w:p>
        </w:tc>
        <w:tc>
          <w:tcPr>
            <w:tcW w:w="69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20" w:type="dxa"/>
            <w:vAlign w:val="bottom"/>
          </w:tcPr>
          <w:p>
            <w:pPr>
              <w:spacing w:after="0"/>
              <w:rPr>
                <w:sz w:val="19"/>
                <w:szCs w:val="19"/>
                <w:color w:val="auto"/>
              </w:rPr>
            </w:pPr>
          </w:p>
        </w:tc>
        <w:tc>
          <w:tcPr>
            <w:tcW w:w="6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Net loss on business disposition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gain on mark-to-market derivatives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Below market intangible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20" w:type="dxa"/>
            <w:vAlign w:val="bottom"/>
          </w:tcPr>
          <w:p>
            <w:pPr>
              <w:spacing w:after="0"/>
              <w:rPr>
                <w:sz w:val="19"/>
                <w:szCs w:val="19"/>
                <w:color w:val="auto"/>
              </w:rPr>
            </w:pPr>
          </w:p>
        </w:tc>
        <w:tc>
          <w:tcPr>
            <w:tcW w:w="6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Net loss on disposal of property, plant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 and dispositions: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Accounts receivable and unbilled accounts receivable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20" w:type="dxa"/>
            <w:vAlign w:val="bottom"/>
          </w:tcPr>
          <w:p>
            <w:pPr>
              <w:spacing w:after="0"/>
              <w:rPr>
                <w:sz w:val="19"/>
                <w:szCs w:val="19"/>
                <w:color w:val="auto"/>
              </w:rPr>
            </w:pPr>
          </w:p>
        </w:tc>
        <w:tc>
          <w:tcPr>
            <w:tcW w:w="6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tcPr>
          <w:p>
            <w:pPr>
              <w:spacing w:after="0"/>
              <w:rPr>
                <w:sz w:val="19"/>
                <w:szCs w:val="19"/>
                <w:color w:val="auto"/>
              </w:rPr>
            </w:pPr>
          </w:p>
        </w:tc>
        <w:tc>
          <w:tcPr>
            <w:tcW w:w="6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Current and noncurrent customer deposits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20" w:type="dxa"/>
            <w:vAlign w:val="bottom"/>
            <w:tcBorders>
              <w:bottom w:val="single" w:sz="8" w:color="CCEEFF"/>
            </w:tcBorders>
          </w:tcPr>
          <w:p>
            <w:pPr>
              <w:spacing w:after="0"/>
              <w:rPr>
                <w:sz w:val="19"/>
                <w:szCs w:val="19"/>
                <w:color w:val="auto"/>
              </w:rPr>
            </w:pPr>
          </w:p>
        </w:tc>
        <w:tc>
          <w:tcPr>
            <w:tcW w:w="694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r>
      <w:tr>
        <w:trPr>
          <w:trHeight w:val="230"/>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9"/>
        </w:trPr>
        <w:tc>
          <w:tcPr>
            <w:tcW w:w="20" w:type="dxa"/>
            <w:vAlign w:val="bottom"/>
          </w:tcPr>
          <w:p>
            <w:pPr>
              <w:spacing w:after="0"/>
              <w:rPr>
                <w:sz w:val="19"/>
                <w:szCs w:val="19"/>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dispositions of businesses, net of cash disposed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Settlement of foreign currency derivatives related to acquisition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20" w:type="dxa"/>
            <w:vAlign w:val="bottom"/>
          </w:tcPr>
          <w:p>
            <w:pPr>
              <w:spacing w:after="0"/>
              <w:rPr>
                <w:sz w:val="19"/>
                <w:szCs w:val="19"/>
                <w:color w:val="auto"/>
              </w:rPr>
            </w:pPr>
          </w:p>
        </w:tc>
        <w:tc>
          <w:tcPr>
            <w:tcW w:w="6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Proceeds from debt, net of issuance costs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w:t>
            </w: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of debt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w:t>
            </w:r>
          </w:p>
        </w:tc>
      </w:tr>
      <w:tr>
        <w:trPr>
          <w:trHeight w:val="230"/>
        </w:trPr>
        <w:tc>
          <w:tcPr>
            <w:tcW w:w="20" w:type="dxa"/>
            <w:vAlign w:val="bottom"/>
          </w:tcPr>
          <w:p>
            <w:pPr>
              <w:spacing w:after="0"/>
              <w:rPr>
                <w:sz w:val="19"/>
                <w:szCs w:val="19"/>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Repurchase of stock</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dividends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20" w:type="dxa"/>
            <w:vAlign w:val="bottom"/>
          </w:tcPr>
          <w:p>
            <w:pPr>
              <w:spacing w:after="0"/>
              <w:rPr>
                <w:sz w:val="19"/>
                <w:szCs w:val="19"/>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of income tax withholding on share-based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20" w:type="dxa"/>
            <w:vAlign w:val="bottom"/>
          </w:tcPr>
          <w:p>
            <w:pPr>
              <w:spacing w:after="0"/>
              <w:rPr>
                <w:sz w:val="19"/>
                <w:szCs w:val="19"/>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20" w:type="dxa"/>
            <w:vAlign w:val="bottom"/>
          </w:tcPr>
          <w:p>
            <w:pPr>
              <w:spacing w:after="0"/>
              <w:rPr>
                <w:sz w:val="19"/>
                <w:szCs w:val="19"/>
                <w:color w:val="auto"/>
              </w:rPr>
            </w:pPr>
          </w:p>
        </w:tc>
        <w:tc>
          <w:tcPr>
            <w:tcW w:w="6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changes in currency exchange rates on cash</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20" w:type="dxa"/>
            <w:vAlign w:val="bottom"/>
          </w:tcPr>
          <w:p>
            <w:pPr>
              <w:spacing w:after="0"/>
              <w:rPr>
                <w:sz w:val="19"/>
                <w:szCs w:val="19"/>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Increase in cash</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23"/>
        </w:trPr>
        <w:tc>
          <w:tcPr>
            <w:tcW w:w="20" w:type="dxa"/>
            <w:vAlign w:val="bottom"/>
          </w:tcPr>
          <w:p>
            <w:pPr>
              <w:spacing w:after="0"/>
              <w:rPr>
                <w:sz w:val="19"/>
                <w:szCs w:val="19"/>
                <w:color w:val="auto"/>
              </w:rPr>
            </w:pPr>
          </w:p>
        </w:tc>
        <w:tc>
          <w:tcPr>
            <w:tcW w:w="6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51" w:name="page52"/>
    <w:bookmarkEnd w:id="51"/>
    <w:p>
      <w:pPr>
        <w:ind w:left="2880"/>
        <w:spacing w:after="0"/>
        <w:rPr>
          <w:sz w:val="20"/>
          <w:szCs w:val="20"/>
          <w:color w:val="auto"/>
        </w:rPr>
      </w:pPr>
      <w:r>
        <w:rPr>
          <w:rFonts w:ascii="Times New Roman" w:cs="Times New Roman" w:eastAsia="Times New Roman" w:hAnsi="Times New Roman"/>
          <w:sz w:val="18"/>
          <w:szCs w:val="18"/>
          <w:b w:val="1"/>
          <w:bCs w:val="1"/>
          <w:color w:val="auto"/>
        </w:rPr>
        <w:t>WESTINGHOUSE AIR BRAKE TECHNOLOGIES CORPORATION</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2"/>
                <w:szCs w:val="12"/>
                <w:color w:val="auto"/>
              </w:rPr>
            </w:pPr>
          </w:p>
        </w:tc>
        <w:tc>
          <w:tcPr>
            <w:tcW w:w="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Shares</w:t>
            </w: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Shares</w:t>
            </w: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10,147</w:t>
            </w:r>
          </w:p>
        </w:tc>
        <w:tc>
          <w:tcPr>
            <w:tcW w:w="0" w:type="dxa"/>
            <w:vAlign w:val="bottom"/>
          </w:tcPr>
          <w:p>
            <w:pPr>
              <w:spacing w:after="0"/>
              <w:rPr>
                <w:sz w:val="1"/>
                <w:szCs w:val="1"/>
                <w:color w:val="auto"/>
              </w:rPr>
            </w:pPr>
          </w:p>
        </w:tc>
      </w:tr>
      <w:tr>
        <w:trPr>
          <w:trHeight w:val="139"/>
        </w:trPr>
        <w:tc>
          <w:tcPr>
            <w:tcW w:w="23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Cash dividends ($0.68 dividend per</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93"/>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share)</w:t>
            </w: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36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Proceeds from treasury stock issued</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6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from the exercise of stock options and</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3"/>
        </w:trPr>
        <w:tc>
          <w:tcPr>
            <w:tcW w:w="2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benefit plans, net of tax</w:t>
            </w: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10"/>
        </w:trPr>
        <w:tc>
          <w:tcPr>
            <w:tcW w:w="2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0" w:type="dxa"/>
            <w:vAlign w:val="bottom"/>
          </w:tcPr>
          <w:p>
            <w:pPr>
              <w:spacing w:after="0"/>
              <w:rPr>
                <w:sz w:val="1"/>
                <w:szCs w:val="1"/>
                <w:color w:val="auto"/>
              </w:rPr>
            </w:pPr>
          </w:p>
        </w:tc>
      </w:tr>
      <w:tr>
        <w:trPr>
          <w:trHeight w:val="139"/>
        </w:trPr>
        <w:tc>
          <w:tcPr>
            <w:tcW w:w="23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 comprehensive income, net of</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93"/>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tax</w:t>
            </w: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195"/>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10"/>
        </w:trPr>
        <w:tc>
          <w:tcPr>
            <w:tcW w:w="2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23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7,977</w:t>
            </w:r>
          </w:p>
        </w:tc>
        <w:tc>
          <w:tcPr>
            <w:tcW w:w="10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5,269</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10,524</w:t>
            </w:r>
          </w:p>
        </w:tc>
        <w:tc>
          <w:tcPr>
            <w:tcW w:w="0" w:type="dxa"/>
            <w:vAlign w:val="bottom"/>
          </w:tcPr>
          <w:p>
            <w:pPr>
              <w:spacing w:after="0"/>
              <w:rPr>
                <w:sz w:val="1"/>
                <w:szCs w:val="1"/>
                <w:color w:val="auto"/>
              </w:rPr>
            </w:pPr>
          </w:p>
        </w:tc>
      </w:tr>
      <w:tr>
        <w:trPr>
          <w:trHeight w:val="126"/>
        </w:trPr>
        <w:tc>
          <w:tcPr>
            <w:tcW w:w="2360" w:type="dxa"/>
            <w:vAlign w:val="bottom"/>
            <w:gridSpan w:val="3"/>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($0.80 dividend per</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98"/>
        </w:trPr>
        <w:tc>
          <w:tcPr>
            <w:tcW w:w="2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w:t>
            </w: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Proceeds from treasury stock issued</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6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color w:val="auto"/>
              </w:rPr>
              <w:t>from the exercise of stock options and</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benefit plans, net of tax</w:t>
            </w: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5"/>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0" w:type="dxa"/>
            <w:vAlign w:val="bottom"/>
          </w:tcPr>
          <w:p>
            <w:pPr>
              <w:spacing w:after="0"/>
              <w:rPr>
                <w:sz w:val="1"/>
                <w:szCs w:val="1"/>
                <w:color w:val="auto"/>
              </w:rPr>
            </w:pPr>
          </w:p>
        </w:tc>
      </w:tr>
      <w:tr>
        <w:trPr>
          <w:trHeight w:val="210"/>
        </w:trPr>
        <w:tc>
          <w:tcPr>
            <w:tcW w:w="2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195"/>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0" w:type="dxa"/>
            <w:vAlign w:val="bottom"/>
          </w:tcPr>
          <w:p>
            <w:pPr>
              <w:spacing w:after="0"/>
              <w:rPr>
                <w:sz w:val="1"/>
                <w:szCs w:val="1"/>
                <w:color w:val="auto"/>
              </w:rPr>
            </w:pPr>
          </w:p>
        </w:tc>
      </w:tr>
      <w:tr>
        <w:trPr>
          <w:trHeight w:val="210"/>
        </w:trPr>
        <w:tc>
          <w:tcPr>
            <w:tcW w:w="2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97"/>
              </w:rPr>
              <w:t>(6)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0"/>
        </w:trPr>
        <w:tc>
          <w:tcPr>
            <w:tcW w:w="23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8,023</w:t>
            </w:r>
          </w:p>
        </w:tc>
        <w:tc>
          <w:tcPr>
            <w:tcW w:w="10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6,185</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10,133</w:t>
            </w:r>
          </w:p>
        </w:tc>
        <w:tc>
          <w:tcPr>
            <w:tcW w:w="0" w:type="dxa"/>
            <w:vAlign w:val="bottom"/>
          </w:tcPr>
          <w:p>
            <w:pPr>
              <w:spacing w:after="0"/>
              <w:rPr>
                <w:sz w:val="1"/>
                <w:szCs w:val="1"/>
                <w:color w:val="auto"/>
              </w:rPr>
            </w:pPr>
          </w:p>
        </w:tc>
      </w:tr>
      <w:tr>
        <w:trPr>
          <w:trHeight w:val="126"/>
        </w:trPr>
        <w:tc>
          <w:tcPr>
            <w:tcW w:w="2360" w:type="dxa"/>
            <w:vAlign w:val="bottom"/>
            <w:gridSpan w:val="3"/>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($1.00 dividend per</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98"/>
        </w:trPr>
        <w:tc>
          <w:tcPr>
            <w:tcW w:w="2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w:t>
            </w: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Proceeds from treasury stock issued</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6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color w:val="auto"/>
              </w:rPr>
              <w:t>from the exercise of stock options and</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5"/>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benefit plans, net of tax</w:t>
            </w: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5"/>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0" w:type="dxa"/>
            <w:vAlign w:val="bottom"/>
          </w:tcPr>
          <w:p>
            <w:pPr>
              <w:spacing w:after="0"/>
              <w:rPr>
                <w:sz w:val="1"/>
                <w:szCs w:val="1"/>
                <w:color w:val="auto"/>
              </w:rPr>
            </w:pPr>
          </w:p>
        </w:tc>
      </w:tr>
      <w:tr>
        <w:trPr>
          <w:trHeight w:val="146"/>
        </w:trPr>
        <w:tc>
          <w:tcPr>
            <w:tcW w:w="2360" w:type="dxa"/>
            <w:vAlign w:val="bottom"/>
            <w:gridSpan w:val="3"/>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Other comprehensive income, net of</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98"/>
        </w:trPr>
        <w:tc>
          <w:tcPr>
            <w:tcW w:w="2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w:t>
            </w: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210"/>
        </w:trPr>
        <w:tc>
          <w:tcPr>
            <w:tcW w:w="2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retirement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7"/>
              </w:rPr>
              <w:t>(6)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2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8,069</w:t>
            </w:r>
          </w:p>
        </w:tc>
        <w:tc>
          <w:tcPr>
            <w:tcW w:w="1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9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Wabtec is a global provider of value-added, technology-based locomotives, equipment, systems, and services for the freight rail and passenger transit industries, as well as the mining, marine, and industrial markets and applications. Our highly engineered rail and transit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2025, approximately half of the Company’s net sales came from customers outside the United States.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right="28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the Company and all subsidiaries that it controls.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subsidiaries in which the Company's ownership is less than 100%, the outside shareholders' interests are shown as noncontrolling interests. The Company also invests in privately-held companies which are accounted for using the equity method when the Company has the ability to exercise significant influence, but not control, over the investee. These statements have been prepared in accordance with U.S. generally accepted accounting principles. Sales between subsidiaries are eliminated in consolidation.</w:t>
      </w:r>
    </w:p>
    <w:p>
      <w:pPr>
        <w:spacing w:after="0" w:line="71" w:lineRule="exact"/>
        <w:rPr>
          <w:sz w:val="20"/>
          <w:szCs w:val="20"/>
          <w:color w:val="auto"/>
        </w:rPr>
      </w:pPr>
    </w:p>
    <w:p>
      <w:pPr>
        <w:ind w:right="2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generally accepted accounting principles in the United States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to make estimates and assumptions that affect the reported amounts of assets and liabilities at the date of the financial statements and reported amounts of revenues and expenses during the reporting period. Actual amounts could differ materially from the estimates. On an ongoing basis, Management reviews its estimates based on currently available information. Changes in facts and circumstances may result in revised estimates.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and Restricted Cash </w:t>
      </w:r>
      <w:r>
        <w:rPr>
          <w:rFonts w:ascii="Times New Roman" w:cs="Times New Roman" w:eastAsia="Times New Roman" w:hAnsi="Times New Roman"/>
          <w:sz w:val="18"/>
          <w:szCs w:val="18"/>
          <w:color w:val="auto"/>
        </w:rPr>
        <w:t>Cash equivalents are highly liquid investments purchased with an original maturity of three months or less.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includes cash held in escrow that is restricted as to withdrawal or usage.</w:t>
      </w:r>
    </w:p>
    <w:p>
      <w:pPr>
        <w:spacing w:after="0" w:line="95" w:lineRule="exact"/>
        <w:rPr>
          <w:sz w:val="20"/>
          <w:szCs w:val="20"/>
          <w:color w:val="auto"/>
        </w:rPr>
      </w:pPr>
    </w:p>
    <w:p>
      <w:pPr>
        <w:ind w:right="48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Doubtful Accounts </w:t>
      </w:r>
      <w:r>
        <w:rPr>
          <w:rFonts w:ascii="Times New Roman" w:cs="Times New Roman" w:eastAsia="Times New Roman" w:hAnsi="Times New Roman"/>
          <w:sz w:val="18"/>
          <w:szCs w:val="18"/>
          <w:color w:val="auto"/>
        </w:rPr>
        <w:t>The allowance for doubtful accounts receivable reflects our best estimate of expected losses inherent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receivable portfolio determined on the basis of historical experience, relevant credit forecast information, changes to customer's solvency, and other currently available evidence. The allowance for doubtful accounts was $32 million and $36 million as of December 31, 2025 and 2024, respectively.</w:t>
      </w:r>
    </w:p>
    <w:p>
      <w:pPr>
        <w:spacing w:after="0" w:line="63" w:lineRule="exact"/>
        <w:rPr>
          <w:sz w:val="20"/>
          <w:szCs w:val="20"/>
          <w:color w:val="auto"/>
        </w:rPr>
      </w:pPr>
    </w:p>
    <w:p>
      <w:pPr>
        <w:ind w:right="1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Inventories are stated at the lower of cost or net realizable value. Cost is predominantly determined under the first-in, first-out ("FIFO")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method. Inventory costs include material, labor and overhead.</w:t>
      </w:r>
    </w:p>
    <w:p>
      <w:pPr>
        <w:spacing w:after="0" w:line="47" w:lineRule="exact"/>
        <w:rPr>
          <w:sz w:val="20"/>
          <w:szCs w:val="20"/>
          <w:color w:val="auto"/>
        </w:rPr>
      </w:pPr>
    </w:p>
    <w:p>
      <w:pPr>
        <w:ind w:right="40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Plant and Equipment </w:t>
      </w:r>
      <w:r>
        <w:rPr>
          <w:rFonts w:ascii="Times New Roman" w:cs="Times New Roman" w:eastAsia="Times New Roman" w:hAnsi="Times New Roman"/>
          <w:sz w:val="18"/>
          <w:szCs w:val="18"/>
          <w:color w:val="auto"/>
        </w:rPr>
        <w:t>Property, plant and equipment additions are stated at cost. Expenditures for renewals and improvements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capitalized. Expenditures for ordinary maintenance and repairs are expensed as incurred. The Company computes book depreciation principally on the straight-line method. Accelerated depreciation methods are utilized for income tax purposes.</w:t>
      </w:r>
    </w:p>
    <w:p>
      <w:pPr>
        <w:spacing w:after="0" w:line="63" w:lineRule="exact"/>
        <w:rPr>
          <w:sz w:val="20"/>
          <w:szCs w:val="20"/>
          <w:color w:val="auto"/>
        </w:rPr>
      </w:pPr>
    </w:p>
    <w:p>
      <w:pPr>
        <w:ind w:right="4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Leasing Arrangements </w:t>
      </w:r>
      <w:r>
        <w:rPr>
          <w:rFonts w:ascii="Times New Roman" w:cs="Times New Roman" w:eastAsia="Times New Roman" w:hAnsi="Times New Roman"/>
          <w:sz w:val="18"/>
          <w:szCs w:val="18"/>
          <w:color w:val="auto"/>
        </w:rPr>
        <w:t>The Company conducts a portion of its operations from leased facilities and finances certain equipment purchases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lease agreements. In those cases in which the lease term approximates the useful life of the leased asset or the lease meets certain other prerequisites, the leasing arrangement is classified as a financing lease. The remaining arrangements are treated as operating leases. Right-of-use lease assets are classified as long-term assets under the caption "Other noncurrent assets" and lease liabilities are classified under the captions "Other accrued liabilities" and "Other long-term liabilities" on the Consolidated Balance Sheets.</w:t>
      </w:r>
    </w:p>
    <w:p>
      <w:pPr>
        <w:spacing w:after="0" w:line="71" w:lineRule="exact"/>
        <w:rPr>
          <w:sz w:val="20"/>
          <w:szCs w:val="20"/>
          <w:color w:val="auto"/>
        </w:rPr>
      </w:pPr>
    </w:p>
    <w:p>
      <w:pPr>
        <w:jc w:val="both"/>
        <w:ind w:right="8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Combinations </w:t>
      </w:r>
      <w:r>
        <w:rPr>
          <w:rFonts w:ascii="Times New Roman" w:cs="Times New Roman" w:eastAsia="Times New Roman" w:hAnsi="Times New Roman"/>
          <w:sz w:val="18"/>
          <w:szCs w:val="18"/>
          <w:color w:val="auto"/>
        </w:rPr>
        <w:t>The Company accounts for business acquisitions under the acquisition method of accounting, in accordance with ASC 805,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Combinations, which requires the purchase price of the acquired business to be allocated to tangible and intangible assets acquired and liabilities assumed based on the respective fair values. The amount of purchase price which is in excess of the fair value of assets acquired and liabilities assumed is recognized as goodwill.</w:t>
      </w:r>
    </w:p>
    <w:p>
      <w:pPr>
        <w:spacing w:after="0" w:line="68"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Intangible Assets </w:t>
      </w:r>
      <w:r>
        <w:rPr>
          <w:rFonts w:ascii="Times New Roman" w:cs="Times New Roman" w:eastAsia="Times New Roman" w:hAnsi="Times New Roman"/>
          <w:sz w:val="18"/>
          <w:szCs w:val="18"/>
          <w:color w:val="auto"/>
        </w:rPr>
        <w:t>Goodwill and other intangible assets with indefinite lives are not amortized. Other intangibles with definite lives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that the carrying value may not be recoverable. The Company will perform either a qualitative or quantitative test for goodwill and indefinite-lived intangible assets, performing a quantitative test for each identified reporting unit in goodwill at least every three years. Periodically, Management of the Company assesses whether or not an indicator of impairment is present that would necessitate an impairment analysis be performed.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53" w:name="page54"/>
    <w:bookmarkEnd w:id="53"/>
    <w:p>
      <w:pPr>
        <w:ind w:right="16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Expense </w:t>
      </w:r>
      <w:r>
        <w:rPr>
          <w:rFonts w:ascii="Times New Roman" w:cs="Times New Roman" w:eastAsia="Times New Roman" w:hAnsi="Times New Roman"/>
          <w:sz w:val="18"/>
          <w:szCs w:val="18"/>
          <w:color w:val="auto"/>
        </w:rPr>
        <w:t>Depreciation of property, plant and equipment related to the manufacturing of products or services provided is included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goods or Cost of services. Depreciation of other property, plant and equipment that is not attributable to the manufacturing of products or services provided is included in Selling, general and administrative expenses or Engineering expense to the extent the property, plant, and equipment is used for research and development purposes.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Warranty Costs </w:t>
      </w:r>
      <w:r>
        <w:rPr>
          <w:rFonts w:ascii="Times New Roman" w:cs="Times New Roman" w:eastAsia="Times New Roman" w:hAnsi="Times New Roman"/>
          <w:sz w:val="18"/>
          <w:szCs w:val="18"/>
          <w:color w:val="auto"/>
        </w:rPr>
        <w:t>Warranty costs are accrued based on management’s estimates of repair or upgrade costs per unit and historical experience.</w:t>
      </w:r>
    </w:p>
    <w:p>
      <w:pPr>
        <w:spacing w:after="0" w:line="117" w:lineRule="exact"/>
        <w:rPr>
          <w:sz w:val="20"/>
          <w:szCs w:val="20"/>
          <w:color w:val="auto"/>
        </w:rPr>
      </w:pPr>
    </w:p>
    <w:p>
      <w:pPr>
        <w:jc w:val="both"/>
        <w:ind w:right="32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Income taxes are accounted for under the liability method. Deferred tax assets and liabilities are determined based on differences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financial reporting and tax basis of assets and liabilities and are measured using the enacted tax rates and laws. The provision for income taxes includes federal, state and foreign income taxes.</w:t>
      </w:r>
    </w:p>
    <w:p>
      <w:pPr>
        <w:spacing w:after="0" w:line="63" w:lineRule="exact"/>
        <w:rPr>
          <w:sz w:val="20"/>
          <w:szCs w:val="20"/>
          <w:color w:val="auto"/>
        </w:rPr>
      </w:pPr>
    </w:p>
    <w:p>
      <w:pPr>
        <w:ind w:right="16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The Company recognizes compensation expense for stock-based compensation based on the grant date fair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ratably over the requisite service period following the date of grant. Compensation expense for incentive stock units is updated as necessary if the number of units expected to vest changes based on the Company's performance.</w:t>
      </w:r>
    </w:p>
    <w:p>
      <w:pPr>
        <w:spacing w:after="0" w:line="63"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Derivatives and Hedging Activities </w:t>
      </w:r>
      <w:r>
        <w:rPr>
          <w:rFonts w:ascii="Times New Roman" w:cs="Times New Roman" w:eastAsia="Times New Roman" w:hAnsi="Times New Roman"/>
          <w:sz w:val="18"/>
          <w:szCs w:val="18"/>
          <w:color w:val="auto"/>
        </w:rPr>
        <w:t>In the normal course of business, the Company is exposed to market risks related to interest 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commodity prices and foreign currency exchange rate fluctuations. At times, the Company limits these risks through the use of derivatives such as cross-currency swaps, foreign currency forward contracts, interest rate hedges, commodity swaps and options. In accordance with the Company's policy, derivatives are only used for hedging purposes. The Company does not use derivatives for trading or speculative purposes. Foreign currency forward contracts are agreements with a counterparty to exchange two distinct currencies at a set exchange rate for delivery on a set date at some point in the future. At the delivery date, the Company can either take delivery of the currency or settle on a net basis. For further information regarding the foreign currency forward contracts see Note 17.</w:t>
      </w:r>
    </w:p>
    <w:p>
      <w:pPr>
        <w:spacing w:after="0" w:line="75" w:lineRule="exact"/>
        <w:rPr>
          <w:sz w:val="20"/>
          <w:szCs w:val="20"/>
          <w:color w:val="auto"/>
        </w:rPr>
      </w:pPr>
    </w:p>
    <w:p>
      <w:pPr>
        <w:ind w:right="40" w:firstLine="486"/>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Translation </w:t>
      </w:r>
      <w:r>
        <w:rPr>
          <w:rFonts w:ascii="Times New Roman" w:cs="Times New Roman" w:eastAsia="Times New Roman" w:hAnsi="Times New Roman"/>
          <w:sz w:val="18"/>
          <w:szCs w:val="18"/>
          <w:color w:val="auto"/>
        </w:rPr>
        <w:t>Certain of our international operations have determined that the local currency is the functional currency whereas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others have determined the U.S. dollar is their functional currency. Assets and liabilities of foreign subsidiaries where the functional currency is the local currency are translated at the rate of exchange in effect on the balance sheet date while income and expenses are translated at the average rates of exchange prevailing during the period. Foreign currency gains and losses resulting from transactions and the translation of financial statements are recorded in the Company’s consolidated financial statements based upon the provisions of ASC 830 “Foreign Currency Matters.” The effects of currency exchange rate changes on intercompany transactions and balances of a long-term investment nature are accumulated and carried as a component of Accumulated other comprehensive loss. The effects of currency exchange rate changes on transactions that are denominated in a currency other than an entity’s functional currency are charged or credited to earnings. Realized gains and losses related to foreign currency exchange are recognized in Other income, net on the Consolidated Statements of Income.</w:t>
      </w:r>
    </w:p>
    <w:p>
      <w:pPr>
        <w:spacing w:after="0" w:line="69" w:lineRule="exact"/>
        <w:rPr>
          <w:sz w:val="20"/>
          <w:szCs w:val="20"/>
          <w:color w:val="auto"/>
        </w:rPr>
      </w:pPr>
    </w:p>
    <w:p>
      <w:pPr>
        <w:ind w:right="6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The Company accounts for Revenue under ASC 606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guidance provides a five-step analysis of transactions to determine when and how revenue is recognized and requires entities to recognize revenue at an amount that reflects the consideration to which the Company expects to be entitled in exchange for transferring goods or services to a customer.</w:t>
      </w:r>
    </w:p>
    <w:p>
      <w:pPr>
        <w:spacing w:after="0" w:line="6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 majority of the Company’s revenues are derived from performance obligations that are satisfied at a point in time when control passes to the customer which is generally at the time of shipment in accordance with agreed upon delivery terms. The remaining revenues are earned over time. All fees billed to the customer for shipping and handling are classified as a component of Net sales. All costs associated with shipping and handling are classified as a component of Cost of sales.</w:t>
      </w:r>
    </w:p>
    <w:p>
      <w:pPr>
        <w:spacing w:after="0" w:line="72"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 used for these agreements recognizes revenue based on our efforts to satisfy the performance obligation and includes costs of material and labor, both of which give an accurate representation of the progress made toward complete satisfaction of a particular performance obligation. The Company may also use the output method which recognizes revenue based on direct measurements of the value transferred to the customer. Contract revenues and cost estimates are reviewed and revised periodically throughout the year and adjustments are reflected in the accounting period as such amounts are determined. Additional information with respect to contract assets and liabilities is included in Note 8.</w:t>
      </w:r>
    </w:p>
    <w:p>
      <w:pPr>
        <w:spacing w:after="0" w:line="86"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54" w:name="page55"/>
    <w:bookmarkEnd w:id="54"/>
    <w:p>
      <w:pPr>
        <w:spacing w:after="0" w:line="256" w:lineRule="auto"/>
        <w:rPr>
          <w:sz w:val="20"/>
          <w:szCs w:val="20"/>
          <w:color w:val="auto"/>
        </w:rPr>
      </w:pPr>
      <w:r>
        <w:rPr>
          <w:rFonts w:ascii="Times New Roman" w:cs="Times New Roman" w:eastAsia="Times New Roman" w:hAnsi="Times New Roman"/>
          <w:sz w:val="18"/>
          <w:szCs w:val="18"/>
          <w:color w:val="auto"/>
        </w:rPr>
        <w:t>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long-term 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7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price escalation clauses, liquidating damages, and performance bonuses. Sales returns and allowances are also estimated and recognized in the same period the related revenue is recognized, based upon the Company’s experience and future expectations.</w:t>
      </w:r>
    </w:p>
    <w:p>
      <w:pPr>
        <w:spacing w:after="0" w:line="79"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represent the allocated transaction price of unsatisfied or partially unsatisfied performance obligations. As of December 31, 2025, the Company's remaining performance obligations were approximately $27.4 billion. The Company expects to recognize revenue of approximately 30% of remaining performance obligations over the next 12 months, with the remainder recognized thereafter.</w:t>
      </w:r>
    </w:p>
    <w:p>
      <w:pPr>
        <w:spacing w:after="0" w:line="6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Revolving Receivables Program </w:t>
      </w:r>
      <w:r>
        <w:rPr>
          <w:rFonts w:ascii="Times New Roman" w:cs="Times New Roman" w:eastAsia="Times New Roman" w:hAnsi="Times New Roman"/>
          <w:sz w:val="18"/>
          <w:szCs w:val="18"/>
          <w:color w:val="auto"/>
        </w:rPr>
        <w:t>Effective January 1, 2025, the Company utilizes its Revolving Receivables Program to request borrowings from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institution against certain collateralized receivables for up to $350 million. During the third quarter of 2025, the Company amended the Revolving Receivables Program to increase its availability from $350 million to up to $450 million. The Company and certain of its subsidiaries (the "Originators") contribute receivables to our bankruptcy-remote subsidiary, which can then be collateralized on a recurring basis. As customers pay their balances, we transfer additional receivables into the program. Borrowings and repayments under the Revolving Receivables Program are classified as Financing activities on our Consolidated Statement of Cash Flows, with any outstanding collateralized balance at period end classified as debt on our Consolidated Balance Sheets. Prior to January 1, 2025, the Company utilized its Revolving Receivables Program to sell up to $350 million of certain receivables from the Originators. Receivables were sold to a financial institution on a recurring basis in exchange for cash equal to the gross receivables sold. Proceeds and remittances of receivables sold under the program prior to January 1, 2025 are classified as Operating activities on our Consolidated Statement of Cash Flows. For the years ended December 31, 2024 and 2023, the net cash proceeds remitted to the financial institution were $20 million and $60 million, respectively.</w:t>
      </w:r>
    </w:p>
    <w:p>
      <w:pPr>
        <w:spacing w:after="0" w:line="78"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bankruptcy remote subsidiary is a separate legal entity with its own creditors, and its assets are not available to pay creditors of the Company or any other affiliates of the Company. The receivables transferred to the program are fully guaranteed by our bankruptcy-remote subsidiary, which holds additional receivables that are pledged as collateral under this facility. The Company has agreed to guarantee the performance of the Originators' respective obligations under the revolving agreement. Neither the Company (except for the bankruptcy-remote consolidated subsidiary referenced above) nor the Originators guarantees the collectability of the receivables under the revolving agreements.</w:t>
      </w:r>
    </w:p>
    <w:p>
      <w:pPr>
        <w:spacing w:after="0" w:line="7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At December 31, 2025 and 2024, the bankruptcy-remote subsidiary held receivables of $623 million and $693 million, respectively, which are included in the Company's Consolidated Balance Sheets. The receivables held by the bankruptcy-remote subsidiary collateralize the outstanding receivables sold and outstanding borrowings. There were no collateralized borrowings or outstanding receivables sold at December 31, 2025 and 2024. The transfers are recorded at the fair value of the proceeds received and obligations assumed less derecognized receivables, if applicable. Our maximum exposure to losses related to these receivables transferred is limited to the amount outstanding.</w:t>
      </w:r>
    </w:p>
    <w:p>
      <w:pPr>
        <w:spacing w:after="0" w:line="112"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Pre-Production Costs </w:t>
      </w:r>
      <w:r>
        <w:rPr>
          <w:rFonts w:ascii="Times New Roman" w:cs="Times New Roman" w:eastAsia="Times New Roman" w:hAnsi="Times New Roman"/>
          <w:sz w:val="18"/>
          <w:szCs w:val="18"/>
          <w:color w:val="auto"/>
        </w:rPr>
        <w:t>Certain pre-production costs relating to long-term production and supply contracts have been deferred and will be recognized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the life of the contracts. Deferred pre-production costs were $42 million and $52 million at December 31, 2025 and 2024, respectively, which are included in Other noncurrent assets on the Consolidated Balance Sheets.</w:t>
      </w:r>
    </w:p>
    <w:p>
      <w:pPr>
        <w:spacing w:after="0" w:line="68" w:lineRule="exact"/>
        <w:rPr>
          <w:sz w:val="20"/>
          <w:szCs w:val="20"/>
          <w:color w:val="auto"/>
        </w:rPr>
      </w:pPr>
    </w:p>
    <w:p>
      <w:pPr>
        <w:ind w:right="22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The Company’s authorized capital stock includes 1,000,000 shares of preferred stock. The Board of Directors has the authority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 the preferred stock and to fix the rights and preferences, which would be superior to those of the common stock. At December 31, 2025 and 2024 there was no preferred stock issued or outstanding.</w:t>
      </w:r>
    </w:p>
    <w:p>
      <w:pPr>
        <w:spacing w:after="0" w:line="63" w:lineRule="exact"/>
        <w:rPr>
          <w:sz w:val="20"/>
          <w:szCs w:val="20"/>
          <w:color w:val="auto"/>
        </w:rPr>
      </w:pPr>
    </w:p>
    <w:p>
      <w:pPr>
        <w:ind w:right="2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Customers and Concentrations of Credit Risk </w:t>
      </w:r>
      <w:r>
        <w:rPr>
          <w:rFonts w:ascii="Times New Roman" w:cs="Times New Roman" w:eastAsia="Times New Roman" w:hAnsi="Times New Roman"/>
          <w:sz w:val="18"/>
          <w:szCs w:val="18"/>
          <w:color w:val="auto"/>
        </w:rPr>
        <w:t>The Company’s trade receivables are primarily from rail and transit industry original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manufacturers, Class I railroads, railroad carriers and commercial companies that utilize rail cars in their operations, such as utility and chemical companies, as well as companies in the mining, marine and industrial markets and applications. No one customer accounted for more than 10% of the Company’s consolidated net sales in the periods presented.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5" w:name="page56"/>
    <w:bookmarkEnd w:id="55"/>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Reclassifications </w:t>
      </w:r>
      <w:r>
        <w:rPr>
          <w:rFonts w:ascii="Times New Roman" w:cs="Times New Roman" w:eastAsia="Times New Roman" w:hAnsi="Times New Roman"/>
          <w:sz w:val="18"/>
          <w:szCs w:val="18"/>
          <w:color w:val="auto"/>
        </w:rPr>
        <w:t>Certain prior year amounts have been reclassified, where necessary, to conform to the current year presentation.</w:t>
      </w:r>
    </w:p>
    <w:p>
      <w:pPr>
        <w:spacing w:after="0" w:line="11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Accounting Standards Recently Issued </w:t>
      </w:r>
      <w:r>
        <w:rPr>
          <w:rFonts w:ascii="Times New Roman" w:cs="Times New Roman" w:eastAsia="Times New Roman" w:hAnsi="Times New Roman"/>
          <w:sz w:val="18"/>
          <w:szCs w:val="18"/>
          <w:color w:val="auto"/>
        </w:rPr>
        <w:t>In November 2024, the Financial Accounting Standards Board ("FASB") issued Accounting Standards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Update ("ASU") 2024-03, </w:t>
      </w:r>
      <w:r>
        <w:rPr>
          <w:rFonts w:ascii="Times New Roman" w:cs="Times New Roman" w:eastAsia="Times New Roman" w:hAnsi="Times New Roman"/>
          <w:sz w:val="18"/>
          <w:szCs w:val="18"/>
          <w:i w:val="1"/>
          <w:iCs w:val="1"/>
          <w:color w:val="auto"/>
        </w:rPr>
        <w:t>Income Statement—Reporting Comprehensive Income—Expense Disaggregation Disclosures (Subtopic 220-40):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Income Statement Expenses</w:t>
      </w:r>
      <w:r>
        <w:rPr>
          <w:rFonts w:ascii="Times New Roman" w:cs="Times New Roman" w:eastAsia="Times New Roman" w:hAnsi="Times New Roman"/>
          <w:sz w:val="18"/>
          <w:szCs w:val="18"/>
          <w:color w:val="auto"/>
        </w:rPr>
        <w:t>. The amendments in this update require entities to disclose disaggregated information about certain costs and expenses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commonly presented income statement expense captions. The amendments will require increased interim and annual footnote disclosures either prospectively or retrospectively for reporting periods presented in interim and annual company filings. The amendments in this update do not affect the recognition, measurement, or financial statement presentation of income statement expenses and will be effective for Wabtec's annual reporting periods beginning January 1, 2027 and interim reporting periods beginning January 1, 2028. The Company is assessing the extent of the impact of the amendments on its future filings.</w:t>
      </w:r>
    </w:p>
    <w:p>
      <w:pPr>
        <w:spacing w:after="0" w:line="77"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Accounting Standards Recently Adopted </w:t>
      </w:r>
      <w:r>
        <w:rPr>
          <w:rFonts w:ascii="Times New Roman" w:cs="Times New Roman" w:eastAsia="Times New Roman" w:hAnsi="Times New Roman"/>
          <w:sz w:val="18"/>
          <w:szCs w:val="18"/>
          <w:color w:val="auto"/>
        </w:rPr>
        <w:t>In December 2023, the FASB issued ASU 2023-09,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Income Taxes (Topic 740): Improvements to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Tax Disclosures</w:t>
      </w:r>
      <w:r>
        <w:rPr>
          <w:rFonts w:ascii="Times New Roman" w:cs="Times New Roman" w:eastAsia="Times New Roman" w:hAnsi="Times New Roman"/>
          <w:sz w:val="18"/>
          <w:szCs w:val="18"/>
          <w:color w:val="auto"/>
        </w:rPr>
        <w:t>. The amendments in this update require entities to disclose on an annual basis specific categories within the income tax rate reconciliation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provide additional information for reconciling items that meet a quantitative threshold. The amendments in this update also require enhanced disaggregation of disclosures about income taxes paid and income tax expense, among other changes. The amendments in this update do not affect the recognition, measurement, or financial statement presentation of income taxes and are effective for Wabtec's annual reporting periods beginning January 1, 2025. The amendments require increased annual disclosures on current and future comparable reporting periods presented in annual company filings. The new annual disclosure requirements are included in Note 11.</w:t>
      </w:r>
    </w:p>
    <w:p>
      <w:pPr>
        <w:spacing w:after="0" w:line="75" w:lineRule="exact"/>
        <w:rPr>
          <w:sz w:val="20"/>
          <w:szCs w:val="20"/>
          <w:color w:val="auto"/>
        </w:rPr>
      </w:pPr>
    </w:p>
    <w:p>
      <w:pPr>
        <w:jc w:val="both"/>
        <w:ind w:right="24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Treasury Stock </w:t>
      </w:r>
      <w:r>
        <w:rPr>
          <w:rFonts w:ascii="Times New Roman" w:cs="Times New Roman" w:eastAsia="Times New Roman" w:hAnsi="Times New Roman"/>
          <w:sz w:val="18"/>
          <w:szCs w:val="18"/>
          <w:color w:val="auto"/>
        </w:rPr>
        <w:t>The Company records treasury stock purchases at cost. The cost of shares repurchased is recorded as a reduction of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The retirement of treasury stock is recognized as a deduction from common stock for the shares' par value and any excess over par as a deduction from retained earnings. During the first quarter of 2025, the Company retired 55 million shares of treasury stock.</w:t>
      </w:r>
    </w:p>
    <w:p>
      <w:pPr>
        <w:spacing w:after="0" w:line="63"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Chain Financing Program </w:t>
      </w:r>
      <w:r>
        <w:rPr>
          <w:rFonts w:ascii="Times New Roman" w:cs="Times New Roman" w:eastAsia="Times New Roman" w:hAnsi="Times New Roman"/>
          <w:sz w:val="18"/>
          <w:szCs w:val="18"/>
          <w:color w:val="auto"/>
        </w:rPr>
        <w:t>The Company has entered into supply chain financing arrangements with third-party financial institutions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our 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which range between net 30 and net 180 days, and does not result in a change in the classification of amounts due as Accounts payable in the Consolidated Balance Sheets. Suppliers utilized the program to accelerate receipt of payment from these financial institutions for $285 million and $311 million of the Company's outstanding Accounts payable as of December 31, 2025 and 2024, respectively. The supplier invoices included under the program require payment in full to the financial institutions consistent with the Company’s normal terms and conditions as agreed upon with the vendor.</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the changes in amounts due to financial institutions reflected in Accounts payable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7"/>
                <w:szCs w:val="17"/>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Obligations outstanding at the beginning of the year</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w w:val="99"/>
              </w:rPr>
              <w:t>311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rPr>
              <w:t>305</w:t>
            </w:r>
          </w:p>
        </w:tc>
      </w:tr>
      <w:tr>
        <w:trPr>
          <w:trHeight w:val="213"/>
        </w:trPr>
        <w:tc>
          <w:tcPr>
            <w:tcW w:w="20" w:type="dxa"/>
            <w:vAlign w:val="bottom"/>
          </w:tcPr>
          <w:p>
            <w:pPr>
              <w:spacing w:after="0"/>
              <w:rPr>
                <w:sz w:val="18"/>
                <w:szCs w:val="18"/>
                <w:color w:val="auto"/>
              </w:rPr>
            </w:pPr>
          </w:p>
        </w:tc>
        <w:tc>
          <w:tcPr>
            <w:tcW w:w="8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Invoices confirmed during the year</w:t>
            </w:r>
          </w:p>
        </w:tc>
        <w:tc>
          <w:tcPr>
            <w:tcW w:w="340" w:type="dxa"/>
            <w:vAlign w:val="bottom"/>
          </w:tcPr>
          <w:p>
            <w:pPr>
              <w:spacing w:after="0"/>
              <w:rPr>
                <w:sz w:val="18"/>
                <w:szCs w:val="18"/>
                <w:color w:val="auto"/>
              </w:rPr>
            </w:pPr>
          </w:p>
        </w:tc>
        <w:tc>
          <w:tcPr>
            <w:tcW w:w="1180" w:type="dxa"/>
            <w:vAlign w:val="bottom"/>
          </w:tcPr>
          <w:p>
            <w:pPr>
              <w:jc w:val="center"/>
              <w:ind w:left="699"/>
              <w:spacing w:after="0"/>
              <w:rPr>
                <w:sz w:val="20"/>
                <w:szCs w:val="20"/>
                <w:color w:val="auto"/>
              </w:rPr>
            </w:pPr>
            <w:r>
              <w:rPr>
                <w:rFonts w:ascii="Times New Roman" w:cs="Times New Roman" w:eastAsia="Times New Roman" w:hAnsi="Times New Roman"/>
                <w:sz w:val="16"/>
                <w:szCs w:val="16"/>
                <w:color w:val="auto"/>
                <w:w w:val="99"/>
              </w:rPr>
              <w:t>683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center"/>
              <w:ind w:left="699"/>
              <w:spacing w:after="0"/>
              <w:rPr>
                <w:sz w:val="20"/>
                <w:szCs w:val="20"/>
                <w:color w:val="auto"/>
              </w:rPr>
            </w:pPr>
            <w:r>
              <w:rPr>
                <w:rFonts w:ascii="Times New Roman" w:cs="Times New Roman" w:eastAsia="Times New Roman" w:hAnsi="Times New Roman"/>
                <w:sz w:val="16"/>
                <w:szCs w:val="16"/>
                <w:color w:val="auto"/>
              </w:rPr>
              <w:t>723</w:t>
            </w:r>
          </w:p>
        </w:tc>
      </w:tr>
      <w:tr>
        <w:trPr>
          <w:trHeight w:val="216"/>
        </w:trPr>
        <w:tc>
          <w:tcPr>
            <w:tcW w:w="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Confirmed invoices paid during the year</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center"/>
              <w:ind w:left="679"/>
              <w:spacing w:after="0"/>
              <w:rPr>
                <w:sz w:val="20"/>
                <w:szCs w:val="20"/>
                <w:color w:val="auto"/>
              </w:rPr>
            </w:pPr>
            <w:r>
              <w:rPr>
                <w:rFonts w:ascii="Times New Roman" w:cs="Times New Roman" w:eastAsia="Times New Roman" w:hAnsi="Times New Roman"/>
                <w:sz w:val="16"/>
                <w:szCs w:val="16"/>
                <w:color w:val="auto"/>
                <w:w w:val="97"/>
              </w:rPr>
              <w:t>(709)</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left="679"/>
              <w:spacing w:after="0"/>
              <w:rPr>
                <w:sz w:val="20"/>
                <w:szCs w:val="20"/>
                <w:color w:val="auto"/>
              </w:rPr>
            </w:pPr>
            <w:r>
              <w:rPr>
                <w:rFonts w:ascii="Times New Roman" w:cs="Times New Roman" w:eastAsia="Times New Roman" w:hAnsi="Times New Roman"/>
                <w:sz w:val="16"/>
                <w:szCs w:val="16"/>
                <w:color w:val="auto"/>
              </w:rPr>
              <w:t>(717)</w:t>
            </w:r>
          </w:p>
        </w:tc>
      </w:tr>
      <w:tr>
        <w:trPr>
          <w:trHeight w:val="212"/>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Obligations outstanding at the end of the year</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center"/>
              <w:ind w:left="699"/>
              <w:spacing w:after="0"/>
              <w:rPr>
                <w:sz w:val="20"/>
                <w:szCs w:val="20"/>
                <w:color w:val="auto"/>
              </w:rPr>
            </w:pPr>
            <w:r>
              <w:rPr>
                <w:rFonts w:ascii="Times New Roman" w:cs="Times New Roman" w:eastAsia="Times New Roman" w:hAnsi="Times New Roman"/>
                <w:sz w:val="16"/>
                <w:szCs w:val="16"/>
                <w:color w:val="auto"/>
                <w:w w:val="99"/>
              </w:rPr>
              <w:t>285</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center"/>
              <w:ind w:left="719"/>
              <w:spacing w:after="0"/>
              <w:rPr>
                <w:sz w:val="20"/>
                <w:szCs w:val="20"/>
                <w:color w:val="auto"/>
              </w:rPr>
            </w:pPr>
            <w:r>
              <w:rPr>
                <w:rFonts w:ascii="Times New Roman" w:cs="Times New Roman" w:eastAsia="Times New Roman" w:hAnsi="Times New Roman"/>
                <w:sz w:val="16"/>
                <w:szCs w:val="16"/>
                <w:color w:val="auto"/>
                <w:w w:val="99"/>
              </w:rPr>
              <w:t>311</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6" w:name="page57"/>
    <w:bookmarkEnd w:id="56"/>
    <w:p>
      <w:pPr>
        <w:ind w:right="9720" w:firstLine="8"/>
        <w:spacing w:after="0" w:line="362" w:lineRule="auto"/>
        <w:tabs>
          <w:tab w:leader="none" w:pos="1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ACQUISITIONS </w:t>
      </w:r>
      <w:r>
        <w:rPr>
          <w:rFonts w:ascii="Times New Roman" w:cs="Times New Roman" w:eastAsia="Times New Roman" w:hAnsi="Times New Roman"/>
          <w:sz w:val="18"/>
          <w:szCs w:val="18"/>
          <w:i w:val="1"/>
          <w:iCs w:val="1"/>
          <w:color w:val="auto"/>
        </w:rPr>
        <w:t>2025</w:t>
      </w:r>
    </w:p>
    <w:p>
      <w:pPr>
        <w:spacing w:after="0" w:line="1" w:lineRule="exact"/>
        <w:rPr>
          <w:sz w:val="20"/>
          <w:szCs w:val="20"/>
          <w:color w:val="auto"/>
        </w:rPr>
      </w:pPr>
    </w:p>
    <w:p>
      <w:pPr>
        <w:ind w:right="80" w:firstLine="486"/>
        <w:spacing w:after="0" w:line="242" w:lineRule="auto"/>
        <w:rPr>
          <w:sz w:val="20"/>
          <w:szCs w:val="20"/>
          <w:color w:val="auto"/>
        </w:rPr>
      </w:pPr>
      <w:r>
        <w:rPr>
          <w:rFonts w:ascii="Times New Roman" w:cs="Times New Roman" w:eastAsia="Times New Roman" w:hAnsi="Times New Roman"/>
          <w:sz w:val="18"/>
          <w:szCs w:val="18"/>
          <w:color w:val="auto"/>
        </w:rPr>
        <w:t>On December 1, 2025, Wabtec acquired Frauscher Sensor Technology Group GmbH ("Frauscher"), a global market leader in train detection, wayside object control solutions and axle counting systems for approximately $792 million. The acquisition positions Wabtec for accelerated, profitable growth, and further strengthens the Company’s product portfolio by adding highly attractive and complementary railway signaling technologies. Frauscher reports within the Digital Intelligence product line of the Freight Segment. The acquisition was funded with a combination of cash on hand, proceeds from the 2025 Term Credit Agreement and borrowings under other sources of available liquidity.</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 of the Frauscher assets acquired and liabilities assumed: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9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9"/>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intangible assets</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20" w:type="dxa"/>
            <w:vAlign w:val="bottom"/>
          </w:tcPr>
          <w:p>
            <w:pPr>
              <w:spacing w:after="0"/>
              <w:rPr>
                <w:sz w:val="19"/>
                <w:szCs w:val="19"/>
                <w:color w:val="auto"/>
              </w:rPr>
            </w:pPr>
          </w:p>
        </w:tc>
        <w:tc>
          <w:tcPr>
            <w:tcW w:w="9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assets acquired</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liabilities</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0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80" w:firstLine="486"/>
        <w:spacing w:after="0" w:line="207" w:lineRule="exact"/>
        <w:rPr>
          <w:sz w:val="20"/>
          <w:szCs w:val="20"/>
          <w:color w:val="auto"/>
        </w:rPr>
      </w:pPr>
      <w:r>
        <w:rPr>
          <w:rFonts w:ascii="Times New Roman" w:cs="Times New Roman" w:eastAsia="Times New Roman" w:hAnsi="Times New Roman"/>
          <w:sz w:val="18"/>
          <w:szCs w:val="18"/>
          <w:color w:val="auto"/>
        </w:rPr>
        <w:t>As of December 31, 2025, the measurement period remains open, and the Company has not finalized the purchase accounting for the acquisition. Certain information necessary to complete the purchase price allocation is not yet available, including, but not limited to, valuations of assets acquired and liabilities assumed and final income tax computations. The amounts recognized for the assets acquired and liabilities assumed are provisional and may be adjusted as the Company continues to obtain and evaluate information about facts and circumstances that existed as of the acquisition date and complete the valuations of assets acquired and liabilities assumed, consistent with the measurement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guidance in ASC 805. Any necessary adjustments will be finalized within one year from the date of acquisition, once the Company has received the necessary information.</w:t>
      </w:r>
    </w:p>
    <w:p>
      <w:pPr>
        <w:spacing w:after="0" w:line="81" w:lineRule="exact"/>
        <w:rPr>
          <w:sz w:val="20"/>
          <w:szCs w:val="20"/>
          <w:color w:val="auto"/>
        </w:rPr>
      </w:pPr>
    </w:p>
    <w:p>
      <w:pPr>
        <w:ind w:right="480" w:firstLine="486"/>
        <w:spacing w:after="0" w:line="242" w:lineRule="auto"/>
        <w:rPr>
          <w:sz w:val="20"/>
          <w:szCs w:val="20"/>
          <w:color w:val="auto"/>
        </w:rPr>
      </w:pPr>
      <w:r>
        <w:rPr>
          <w:rFonts w:ascii="Times New Roman" w:cs="Times New Roman" w:eastAsia="Times New Roman" w:hAnsi="Times New Roman"/>
          <w:sz w:val="18"/>
          <w:szCs w:val="18"/>
          <w:color w:val="auto"/>
        </w:rPr>
        <w:t>Intangible assets acquired include customer relationships and acquired technology that are subject to amortization, and trade names that were assigned an indefinite life and are not subject to amortization. The fair value of these intangibles are preliminary in nature and subject to adjustments, which could be material as the Company has not completed its valuation of acquired assets and liabilities.</w:t>
      </w:r>
    </w:p>
    <w:p>
      <w:pPr>
        <w:spacing w:after="0" w:line="76" w:lineRule="exact"/>
        <w:rPr>
          <w:sz w:val="20"/>
          <w:szCs w:val="20"/>
          <w:color w:val="auto"/>
        </w:rPr>
      </w:pPr>
    </w:p>
    <w:p>
      <w:pPr>
        <w:jc w:val="both"/>
        <w:ind w:right="120" w:firstLine="486"/>
        <w:spacing w:after="0" w:line="242" w:lineRule="auto"/>
        <w:rPr>
          <w:sz w:val="20"/>
          <w:szCs w:val="20"/>
          <w:color w:val="auto"/>
        </w:rPr>
      </w:pPr>
      <w:r>
        <w:rPr>
          <w:rFonts w:ascii="Times New Roman" w:cs="Times New Roman" w:eastAsia="Times New Roman" w:hAnsi="Times New Roman"/>
          <w:sz w:val="18"/>
          <w:szCs w:val="18"/>
          <w:color w:val="auto"/>
        </w:rPr>
        <w:t>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The purchased goodwill is not expected to be deductible for tax purposes. The net sales and results of operations subsequent to the acquisition date were not material to the Company’s consolidated net sales or results of operations. The pro forma impact on Wabtec’s sales and results of operations, including the pro forma effect of events that are directly attributable to the acquisition, was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7" w:name="page58"/>
    <w:bookmarkEnd w:id="57"/>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On July 1, 2025, Wabtec acquired 100% ownership in Evident’s Inspection Technologies division ("Inspection Technologies") for approximately $1.788 billion. Inspection Technologies was formerly part of the Scientific Solutions Division of Olympus Corporation, a global leader in nondestructive testing, remote visual inspection and analytical instruments solutions for mission critical assets. Inspection Technologies’ leading industry presence and innovative product portfolio is expected to significantly expand Wabtec's capabilities, adding advanced automated inspection capabilities, driving technology in a space where data acquisition, analytics and automation are critical. Inspection Technologies reports within the Digital Intelligence product line of the Freight Segment. The acquisition was funded with a combination of cash on hand, proceeds from the 2035 Notes, and borrowings under other sources of available liquidity.</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 of the Inspection Technologies assets acquired and liabilities assumed: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9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29"/>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names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Acquired technology</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20" w:type="dxa"/>
            <w:vAlign w:val="bottom"/>
          </w:tcPr>
          <w:p>
            <w:pPr>
              <w:spacing w:after="0"/>
              <w:rPr>
                <w:sz w:val="19"/>
                <w:szCs w:val="19"/>
                <w:color w:val="auto"/>
              </w:rPr>
            </w:pPr>
          </w:p>
        </w:tc>
        <w:tc>
          <w:tcPr>
            <w:tcW w:w="9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assets acquired</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liabilities</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0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60" w:firstLine="486"/>
        <w:spacing w:after="0" w:line="237" w:lineRule="auto"/>
        <w:rPr>
          <w:sz w:val="20"/>
          <w:szCs w:val="20"/>
          <w:color w:val="auto"/>
        </w:rPr>
      </w:pPr>
      <w:r>
        <w:rPr>
          <w:rFonts w:ascii="Times New Roman" w:cs="Times New Roman" w:eastAsia="Times New Roman" w:hAnsi="Times New Roman"/>
          <w:sz w:val="18"/>
          <w:szCs w:val="18"/>
          <w:color w:val="auto"/>
        </w:rPr>
        <w:t>As of December 31, 2025, the measurement period remains open, and the Company has not finalized the purchase accounting for the acquisition. The fair values of the assets acquired and liabilities assumed were determined using the income, cost and market approaches. Discounted cash flow models were used to estimate the fair values of acquired intangible assets. The fair value measurements were primarily based on significant inputs that are not observable in the market and are considered Level 3 in the fair value hierarchy. Intangible assets acquired include customer relationships and acquired technology that are subject to amortization, and trade names that were assigned an indefinite life and are not subject to amortization. Contingent liabilities assumed as part of the transaction were not material. These estimates are preliminary in nature and subject to adjustments, which could be material as the Company has not completed its valuation of acquired assets and liabilities. Certain information necessary to complete the purchase price allocation is not yet available, including, but not limited to, final valuations of assets acquired and liabilities assumed and final income tax computations. Any necessary adjustments will be finalized within one year from the date of acquisition, once the Company has received the necessary information.</w:t>
      </w:r>
    </w:p>
    <w:p>
      <w:pPr>
        <w:spacing w:after="0" w:line="9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Approximately half of the purchased goodwill is expected to be deductible for tax purposes. The net sales and results of operations subsequent to the acquisition date were not material to the Company’s consolidated net sales or results of operations. The pro forma impact on Wabtec’s sales and results of operations, including the pro forma effect of events that are directly attributable to the acquisition, was not significant.</w:t>
      </w:r>
    </w:p>
    <w:p>
      <w:pPr>
        <w:spacing w:after="0" w:line="62"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Also during 2025, the Freight Segment completed two additional acquisitions for a combined purchase price of approximately $26 million, net of cash acquired, which were individually and collectively immaterial.</w:t>
      </w:r>
    </w:p>
    <w:p>
      <w:pPr>
        <w:spacing w:after="0" w:line="54" w:lineRule="exact"/>
        <w:rPr>
          <w:sz w:val="20"/>
          <w:szCs w:val="20"/>
          <w:color w:val="auto"/>
        </w:rPr>
      </w:pPr>
    </w:p>
    <w:p>
      <w:pPr>
        <w:ind w:right="120" w:firstLine="486"/>
        <w:spacing w:after="0" w:line="250" w:lineRule="auto"/>
        <w:rPr>
          <w:sz w:val="20"/>
          <w:szCs w:val="20"/>
          <w:color w:val="auto"/>
        </w:rPr>
      </w:pPr>
      <w:r>
        <w:rPr>
          <w:rFonts w:ascii="Times New Roman" w:cs="Times New Roman" w:eastAsia="Times New Roman" w:hAnsi="Times New Roman"/>
          <w:sz w:val="18"/>
          <w:szCs w:val="18"/>
          <w:color w:val="auto"/>
        </w:rPr>
        <w:t>On March 18, 2025, Wabtec announced a definitive agreement to acquire Dellner Couplers, a global leader in highly engineered safety-critical train connection systems and services for passenger rail rolling stock, for approximately €890 million. The transaction subsequently closed on February 10, 2026.</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8" w:name="page59"/>
    <w:bookmarkEnd w:id="58"/>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Transaction costs related to the completed and announced acquisitions for the year ended December 31, 2025, were approximately $49 million and are included in Selling, general, and administrative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w:t>
      </w:r>
    </w:p>
    <w:p>
      <w:pPr>
        <w:spacing w:after="0" w:line="11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During 2024, the Company made four strategic acquisitions for a combined purchase price of approximately $168 million, net of cash acquired. Two of the acquisitions are reported in the Transit Segment, one is reported in the Digital Intelligence product line of the Freight Segment and one is reported in the Components product line of the Freight Segment. Each of the acquisitions in 2024 are individually and collectively immaterial.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w:t>
      </w:r>
    </w:p>
    <w:p>
      <w:pPr>
        <w:spacing w:after="0" w:line="11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On December 22, 2023, the Company purchased the remaining ownership shares of Lokomotiv Kurastyru Zauyty ("LKZ"), a locomotive manufacturing and assembly company located in Kazakhstan, at which time it became a wholly owned subsidiary of the Company. Prior to this purchase, Wabtec owned 50% of LKZ as a joint venture partner and accounted for its ownership interest as an equity method investment. Total purchase price for the remaining 50% interest was $111 million, and was allocated primarily to goodwill. As a result of the change in ownership interest and obtaining control of LKZ, Wabtec's previously held equity interest balance was remeasured to fair value, resulting in a gain of approximately $35 million recorded to Other income, net. Upon acquisition, Wabtec ceased accounting for the investment using the equity method and recognized 100% of LKZ's identifiable assets and liabilities, and LKZ's results of operations and cash flows are fully consolidated subsequent to the acquisition date.</w:t>
      </w:r>
    </w:p>
    <w:p>
      <w:pPr>
        <w:spacing w:after="0" w:line="13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During the second quarter of 2023, the Company acquired L&amp;M Radiator, Inc., a leading manufacturer of heavy-duty equipment radiators and heat exchangers for the mining sector, for a purchase price of approximately $245 million. The results of this business since the date of acquisition are reported within the Components product line of the Freight Segment. The pro forma impact on Wabtec’s sales and results of operations, including the pro forma effect of events that are directly attributable to the acquisition, was not significant.</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fair value of the L&amp;M Radiator, Inc. assets acquired and liabilities assumed: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9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intangible assets</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Pr>
          <w:p>
            <w:pPr>
              <w:spacing w:after="0"/>
              <w:rPr>
                <w:sz w:val="19"/>
                <w:szCs w:val="19"/>
                <w:color w:val="auto"/>
              </w:rPr>
            </w:pPr>
          </w:p>
        </w:tc>
        <w:tc>
          <w:tcPr>
            <w:tcW w:w="9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assets acquired</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liabilities</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0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The fair values of the assets acquired and liabilities assumed were determined using the income, cost and market approaches. Discounted cash flow models were used to estimate the fair values of acquired intangibles. The fair value measurements were primarily based on significant inputs that are not observable in the market and are considered Level 3 in the fair value hierarchy. Intangible assets acquired include customer relationships and acquired technology that are subject to amortization, and trade names that were assigned an indefinite life and are not subject to amortization.</w:t>
      </w:r>
    </w:p>
    <w:p>
      <w:pPr>
        <w:spacing w:after="0" w:line="72"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The purchased goodwill is not expected to be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4. SUPPLEMENTAL CASH FLOW DISCLOSURES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58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8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paid during the year</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52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6"/>
                <w:szCs w:val="16"/>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Business acquisitions:</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Fair value of assets acquired</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2,989</w:t>
            </w:r>
          </w:p>
        </w:tc>
        <w:tc>
          <w:tcPr>
            <w:tcW w:w="52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Fair value of liabilities assumed</w:t>
            </w:r>
          </w:p>
        </w:tc>
        <w:tc>
          <w:tcPr>
            <w:tcW w:w="10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7"/>
        </w:trPr>
        <w:tc>
          <w:tcPr>
            <w:tcW w:w="20" w:type="dxa"/>
            <w:vAlign w:val="bottom"/>
          </w:tcPr>
          <w:p>
            <w:pPr>
              <w:spacing w:after="0"/>
              <w:rPr>
                <w:sz w:val="17"/>
                <w:szCs w:val="17"/>
                <w:color w:val="auto"/>
              </w:rPr>
            </w:pPr>
          </w:p>
        </w:tc>
        <w:tc>
          <w:tcPr>
            <w:tcW w:w="64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Cash paid</w:t>
            </w:r>
          </w:p>
        </w:tc>
        <w:tc>
          <w:tcPr>
            <w:tcW w:w="10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Cash and cash equivalents acquired</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0"/>
        </w:trPr>
        <w:tc>
          <w:tcPr>
            <w:tcW w:w="20" w:type="dxa"/>
            <w:vAlign w:val="bottom"/>
          </w:tcPr>
          <w:p>
            <w:pPr>
              <w:spacing w:after="0"/>
              <w:rPr>
                <w:sz w:val="18"/>
                <w:szCs w:val="18"/>
                <w:color w:val="auto"/>
              </w:rPr>
            </w:pPr>
          </w:p>
        </w:tc>
        <w:tc>
          <w:tcPr>
            <w:tcW w:w="64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Net cash paid</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At December 31, 2025 and December 31, 2024, Wabtec had restricted cash of $25 million and $9 million, respectively, primarily for cash held in escrow related to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inventory, net of reserves, were:</w:t>
      </w:r>
    </w:p>
    <w:p>
      <w:pPr>
        <w:spacing w:after="0" w:line="160"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19"/>
              <w:spacing w:after="0" w:line="161"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19"/>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r>
      <w:tr>
        <w:trPr>
          <w:trHeight w:val="213"/>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Work-in-progress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r>
      <w:tr>
        <w:trPr>
          <w:trHeight w:val="216"/>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2,314</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&amp; EQUIPMENT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major classes of depreciable assets are as follows:</w:t>
      </w:r>
    </w:p>
    <w:p>
      <w:pPr>
        <w:spacing w:after="0" w:line="52"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19"/>
              <w:spacing w:after="0" w:line="161"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19"/>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w:t>
            </w:r>
          </w:p>
        </w:tc>
      </w:tr>
      <w:tr>
        <w:trPr>
          <w:trHeight w:val="213"/>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 and improvements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3"/>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w:t>
            </w:r>
          </w:p>
        </w:tc>
      </w:tr>
      <w:tr>
        <w:trPr>
          <w:trHeight w:val="213"/>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estimated useful lives of property, plant and equipment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7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r>
      <w:tr>
        <w:trPr>
          <w:trHeight w:val="21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improvements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 to 20</w:t>
            </w:r>
          </w:p>
        </w:tc>
      </w:tr>
      <w:tr>
        <w:trPr>
          <w:trHeight w:val="213"/>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 and improvements</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 to 40</w:t>
            </w: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 to 15</w:t>
            </w:r>
          </w:p>
        </w:tc>
      </w:tr>
    </w:tbl>
    <w:p>
      <w:pPr>
        <w:spacing w:after="0" w:line="2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Depreciation expense was $195 million, $196 million, and $204 million for 2025, 2024 and 2023,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121" w:lineRule="exact"/>
        <w:rPr>
          <w:sz w:val="20"/>
          <w:szCs w:val="20"/>
          <w:color w:val="auto"/>
        </w:rPr>
      </w:pPr>
    </w:p>
    <w:p>
      <w:pPr>
        <w:ind w:right="20" w:firstLine="486"/>
        <w:spacing w:after="0" w:line="242" w:lineRule="auto"/>
        <w:rPr>
          <w:sz w:val="20"/>
          <w:szCs w:val="20"/>
          <w:color w:val="auto"/>
        </w:rPr>
      </w:pPr>
      <w:r>
        <w:rPr>
          <w:rFonts w:ascii="Times New Roman" w:cs="Times New Roman" w:eastAsia="Times New Roman" w:hAnsi="Times New Roman"/>
          <w:sz w:val="18"/>
          <w:szCs w:val="18"/>
          <w:color w:val="auto"/>
        </w:rPr>
        <w:t>Goodwill is reviewed annually during the fourth quarter for impairment. The Company has identified three reporting units for purposes of testing goodwill for impairment. Two reporting units exist within the Freight segment (the "Freight" and "Components" reporting units), and the Transit segment is also a reporting unit. In 2025, management elected to first assess qualitative factors to determine whether a quantitative goodwill impairment test is necessary for the Freight and Transit reporting units. During the assessment, management evaluated all relevant events and facts that may impact the fair value or carrying value of the reporting units' goodwill and concluded that it was not more likely than not that the estimated fair values were less than the carrying values; therefore, no further analysis was required. For the Components reporting unit, management elected to proceed directly to the quantitative impairment test. The discounted cash flow method and the market approach were used to estimate the fair value of the Components reporting unit using a weighting of 75% and 25%, respectively. The discounted cash flow model requires several assumptions including future sales growth, EBIT (earnings before interest and taxes) margins, capital expenditures, a discount rate and a terminal revenue growth rate (the revenue growth rate for the period beyond the years forecasted by the reporting units) for the Components reporting unit. The market approach requires several assumptions including EBITDA (earnings before interest, taxes, depreciation and amortization) multiples for comparable companies that operate in the same markets as the Company’s reporting units. For 2025, the discounted cash flow method was given more weight compared to the market approach due to variables between the operations of the guideline companies used in the analysis and Wabtec's operations, such as different reporting unit sizes, growth and business characteristics. Each valuation resulted in a conclusion that the estimated fair value of the Components reporting unit was in excess of its carrying value, and no impairment existed.</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 in the carrying amount of goodwill by segment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Freight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Transit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7,294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Disposals</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Foreign currency impact</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7,248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1,320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Disposals</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Foreign currency impact</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8,567</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486"/>
        <w:spacing w:after="0" w:line="236" w:lineRule="auto"/>
        <w:rPr>
          <w:sz w:val="20"/>
          <w:szCs w:val="20"/>
          <w:color w:val="auto"/>
        </w:rPr>
      </w:pPr>
      <w:r>
        <w:rPr>
          <w:rFonts w:ascii="Times New Roman" w:cs="Times New Roman" w:eastAsia="Times New Roman" w:hAnsi="Times New Roman"/>
          <w:sz w:val="18"/>
          <w:szCs w:val="18"/>
          <w:color w:val="auto"/>
        </w:rPr>
        <w:t>The Company’s indefinite lived intangible assets are also reviewed annually during the fourth quarter for impairment. During 2025 and 2024, the Company proceeded directly to the quantitative impairment test for certain trade names with indefinite lives. For 2025 and 2024, certain trade names that were associated with the Company’s current restructuring actions were tested and considered impaired. As such, for the year ended December 31, 2025 and 2024, approximately $3 million and approximately $6 million of expense was recorded, respectively, primarily related to the Company's Portfolio Optimization. For the remaining trade names subject to the quantitative impairment test in both 2025 and 2024, the fair value exceeded each respective carrying value, resulting in a conclusion that no additional impairment existed. For other trade names, management assessed qualitative factors and concluded that it was not more likely than not that the estimated fair values of the trade names were less than their carrying values; therefore, no further analysis was required. The assessment of qualitative factors used in determining whether it is more likely than not that the fair value of a trade name is less than its carrying amount involves significant judgments and assumptions. The judgment and assumptions include the identification of macroeconomic conditions, industry and market considerations, cost factors, overall financial performance, Wabtec specific events, share price trends and assessing whether each relevant factor will impact the impairment test positively or negatively and the magnitude of any such impact.</w:t>
      </w:r>
    </w:p>
    <w:p>
      <w:pPr>
        <w:spacing w:after="0" w:line="151"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Company’s trade names had a net carrying amount of $851 million and $595 million, respectively, and the Company believes these intangibles have indefinite lives, with the exception of the right to use the GE Transportation trade name, to which the Company had an original useful life of 5 years and became fully amortized in the first quarter of 2024.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1" w:name="page62"/>
    <w:bookmarkEnd w:id="61"/>
    <w:p>
      <w:pPr>
        <w:ind w:left="500"/>
        <w:spacing w:after="0"/>
        <w:rPr>
          <w:sz w:val="20"/>
          <w:szCs w:val="20"/>
          <w:color w:val="auto"/>
        </w:rPr>
      </w:pPr>
      <w:r>
        <w:rPr>
          <w:rFonts w:ascii="Times New Roman" w:cs="Times New Roman" w:eastAsia="Times New Roman" w:hAnsi="Times New Roman"/>
          <w:sz w:val="18"/>
          <w:szCs w:val="18"/>
          <w:color w:val="auto"/>
        </w:rPr>
        <w:t>Intangible assets of the Company, other than goodwill and trade names, that are considered definitive lived consist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1"/>
                <w:szCs w:val="11"/>
                <w:color w:val="auto"/>
              </w:rPr>
            </w:pPr>
          </w:p>
        </w:tc>
        <w:tc>
          <w:tcPr>
            <w:tcW w:w="132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30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180" w:type="dxa"/>
            <w:vAlign w:val="bottom"/>
          </w:tcPr>
          <w:p>
            <w:pPr>
              <w:jc w:val="center"/>
              <w:ind w:right="122"/>
              <w:spacing w:after="0" w:line="134"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30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180" w:type="dxa"/>
            <w:vAlign w:val="bottom"/>
          </w:tcPr>
          <w:p>
            <w:pPr>
              <w:jc w:val="right"/>
              <w:ind w:right="202"/>
              <w:spacing w:after="0" w:line="134"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2"/>
                <w:szCs w:val="12"/>
                <w:color w:val="auto"/>
              </w:rPr>
            </w:pPr>
          </w:p>
        </w:tc>
        <w:tc>
          <w:tcPr>
            <w:tcW w:w="1180" w:type="dxa"/>
            <w:vAlign w:val="bottom"/>
          </w:tcPr>
          <w:p>
            <w:pPr>
              <w:jc w:val="right"/>
              <w:ind w:right="362"/>
              <w:spacing w:after="0" w:line="127"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Backlog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Acquired technology</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The remaining weighted average useful lives of backlog, customer relationships and acquired technology were 8 years, 16 years and 8 years, respectively. The backlog intangible asset primarily consists of in-place long-term service agreements acquired by the Company in conjunction with the acquisition of GE Transportation. Amortization expense for intangible assets was $300 million, $303 million, and $321 million for the years ended December 31, 2025, 2024, and 2023, respectively.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Amortization expense for the five succeeding years is estimated to be as follows:</w:t>
            </w:r>
          </w:p>
        </w:tc>
        <w:tc>
          <w:tcPr>
            <w:tcW w:w="2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75"/>
        </w:trPr>
        <w:tc>
          <w:tcPr>
            <w:tcW w:w="8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4"/>
        </w:trPr>
        <w:tc>
          <w:tcPr>
            <w:tcW w:w="4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7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7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6"/>
                <w:szCs w:val="16"/>
                <w:color w:val="auto"/>
              </w:rPr>
              <w:t>2026</w:t>
            </w:r>
          </w:p>
        </w:tc>
        <w:tc>
          <w:tcPr>
            <w:tcW w:w="7340" w:type="dxa"/>
            <w:vAlign w:val="bottom"/>
            <w:shd w:val="clear" w:color="auto" w:fill="CCEEFF"/>
          </w:tcPr>
          <w:p>
            <w:pPr>
              <w:spacing w:after="0"/>
              <w:rPr>
                <w:sz w:val="18"/>
                <w:szCs w:val="18"/>
                <w:color w:val="auto"/>
              </w:rPr>
            </w:pPr>
          </w:p>
        </w:tc>
        <w:tc>
          <w:tcPr>
            <w:tcW w:w="234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13"/>
        </w:trPr>
        <w:tc>
          <w:tcPr>
            <w:tcW w:w="700" w:type="dxa"/>
            <w:vAlign w:val="bottom"/>
            <w:gridSpan w:val="2"/>
          </w:tcPr>
          <w:p>
            <w:pPr>
              <w:jc w:val="right"/>
              <w:ind w:right="130"/>
              <w:spacing w:after="0"/>
              <w:rPr>
                <w:sz w:val="20"/>
                <w:szCs w:val="20"/>
                <w:color w:val="auto"/>
              </w:rPr>
            </w:pPr>
            <w:r>
              <w:rPr>
                <w:rFonts w:ascii="Times New Roman" w:cs="Times New Roman" w:eastAsia="Times New Roman" w:hAnsi="Times New Roman"/>
                <w:sz w:val="16"/>
                <w:szCs w:val="16"/>
                <w:color w:val="auto"/>
              </w:rPr>
              <w:t>2027</w:t>
            </w:r>
          </w:p>
        </w:tc>
        <w:tc>
          <w:tcPr>
            <w:tcW w:w="7340" w:type="dxa"/>
            <w:vAlign w:val="bottom"/>
          </w:tcPr>
          <w:p>
            <w:pPr>
              <w:spacing w:after="0"/>
              <w:rPr>
                <w:sz w:val="18"/>
                <w:szCs w:val="18"/>
                <w:color w:val="auto"/>
              </w:rPr>
            </w:pPr>
          </w:p>
        </w:tc>
        <w:tc>
          <w:tcPr>
            <w:tcW w:w="234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19"/>
        </w:trPr>
        <w:tc>
          <w:tcPr>
            <w:tcW w:w="7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6"/>
                <w:szCs w:val="16"/>
                <w:color w:val="auto"/>
              </w:rPr>
              <w:t>2028</w:t>
            </w:r>
          </w:p>
        </w:tc>
        <w:tc>
          <w:tcPr>
            <w:tcW w:w="7340" w:type="dxa"/>
            <w:vAlign w:val="bottom"/>
            <w:shd w:val="clear" w:color="auto" w:fill="CCEEFF"/>
          </w:tcPr>
          <w:p>
            <w:pPr>
              <w:spacing w:after="0"/>
              <w:rPr>
                <w:sz w:val="19"/>
                <w:szCs w:val="19"/>
                <w:color w:val="auto"/>
              </w:rPr>
            </w:pPr>
          </w:p>
        </w:tc>
        <w:tc>
          <w:tcPr>
            <w:tcW w:w="234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13"/>
        </w:trPr>
        <w:tc>
          <w:tcPr>
            <w:tcW w:w="700" w:type="dxa"/>
            <w:vAlign w:val="bottom"/>
            <w:gridSpan w:val="2"/>
          </w:tcPr>
          <w:p>
            <w:pPr>
              <w:jc w:val="right"/>
              <w:ind w:right="130"/>
              <w:spacing w:after="0"/>
              <w:rPr>
                <w:sz w:val="20"/>
                <w:szCs w:val="20"/>
                <w:color w:val="auto"/>
              </w:rPr>
            </w:pPr>
            <w:r>
              <w:rPr>
                <w:rFonts w:ascii="Times New Roman" w:cs="Times New Roman" w:eastAsia="Times New Roman" w:hAnsi="Times New Roman"/>
                <w:sz w:val="16"/>
                <w:szCs w:val="16"/>
                <w:color w:val="auto"/>
              </w:rPr>
              <w:t>2029</w:t>
            </w:r>
          </w:p>
        </w:tc>
        <w:tc>
          <w:tcPr>
            <w:tcW w:w="7340" w:type="dxa"/>
            <w:vAlign w:val="bottom"/>
          </w:tcPr>
          <w:p>
            <w:pPr>
              <w:spacing w:after="0"/>
              <w:rPr>
                <w:sz w:val="18"/>
                <w:szCs w:val="18"/>
                <w:color w:val="auto"/>
              </w:rPr>
            </w:pPr>
          </w:p>
        </w:tc>
        <w:tc>
          <w:tcPr>
            <w:tcW w:w="234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19"/>
        </w:trPr>
        <w:tc>
          <w:tcPr>
            <w:tcW w:w="7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6"/>
                <w:szCs w:val="16"/>
                <w:color w:val="auto"/>
              </w:rPr>
              <w:t>2030</w:t>
            </w:r>
          </w:p>
        </w:tc>
        <w:tc>
          <w:tcPr>
            <w:tcW w:w="7340" w:type="dxa"/>
            <w:vAlign w:val="bottom"/>
            <w:shd w:val="clear" w:color="auto" w:fill="CCEEFF"/>
          </w:tcPr>
          <w:p>
            <w:pPr>
              <w:spacing w:after="0"/>
              <w:rPr>
                <w:sz w:val="19"/>
                <w:szCs w:val="19"/>
                <w:color w:val="auto"/>
              </w:rPr>
            </w:pPr>
          </w:p>
        </w:tc>
        <w:tc>
          <w:tcPr>
            <w:tcW w:w="234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8. CONTRACT ASSETS AND CONTRACT LIABILITIES</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Consolidated Balance Sheets. Noncurrent contract assets were $121 million and $170 million at December 31, 2025 and 2024, respectively. Included in noncurrent contract assets are certain costs that are specifically related to a contract but do not directly contribute to the transfer of control of the tangible product being created, such as non-recurring engineering costs. The Company has elected to use the practical expedient and not consider unbilled amounts anticipated to be paid within one year as significant financing components.</w:t>
      </w:r>
    </w:p>
    <w:p>
      <w:pPr>
        <w:spacing w:after="0" w:line="81"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Consolidated Balance Sheets. Noncurrent contract liabilities were $259 million and $389 million at December 31, 2025 and 2024, respectively.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$82 million and $91 million at December 31, 2025 and 2024, respectively. These provisions for estimated losses are classified as current liabilities and included within the caption “Other accrued liabilities” on the Consolidated Balance Sheets.</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the changes in the Company’s contract assets and liabilities as follows:</w:t>
      </w:r>
    </w:p>
    <w:p>
      <w:pPr>
        <w:spacing w:after="0" w:line="52"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6"/>
          <w:szCs w:val="16"/>
          <w:b w:val="1"/>
          <w:bCs w:val="1"/>
          <w:color w:val="auto"/>
        </w:rPr>
        <w:t>Contract Assets</w:t>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7"/>
                <w:szCs w:val="17"/>
                <w:color w:val="auto"/>
              </w:rPr>
            </w:pPr>
          </w:p>
        </w:tc>
        <w:tc>
          <w:tcPr>
            <w:tcW w:w="1160" w:type="dxa"/>
            <w:vAlign w:val="bottom"/>
          </w:tcPr>
          <w:p>
            <w:pPr>
              <w:jc w:val="right"/>
              <w:ind w:right="519"/>
              <w:spacing w:after="0" w:line="177"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19"/>
              <w:spacing w:after="0" w:line="177"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r>
      <w:tr>
        <w:trPr>
          <w:trHeight w:val="213"/>
        </w:trPr>
        <w:tc>
          <w:tcPr>
            <w:tcW w:w="20" w:type="dxa"/>
            <w:vAlign w:val="bottom"/>
          </w:tcPr>
          <w:p>
            <w:pPr>
              <w:spacing w:after="0"/>
              <w:rPr>
                <w:sz w:val="18"/>
                <w:szCs w:val="18"/>
                <w:color w:val="auto"/>
              </w:rPr>
            </w:pPr>
          </w:p>
        </w:tc>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Recognized in current year</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Reclassified to accounts 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r>
      <w:tr>
        <w:trPr>
          <w:trHeight w:val="213"/>
        </w:trPr>
        <w:tc>
          <w:tcPr>
            <w:tcW w:w="20" w:type="dxa"/>
            <w:vAlign w:val="bottom"/>
          </w:tcPr>
          <w:p>
            <w:pPr>
              <w:spacing w:after="0"/>
              <w:rPr>
                <w:sz w:val="18"/>
                <w:szCs w:val="18"/>
                <w:color w:val="auto"/>
              </w:rPr>
            </w:pPr>
          </w:p>
        </w:tc>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Acquisitions/adjustments</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6"/>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impact</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2"/>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end of year</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8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Contract Liabilities</w:t>
            </w:r>
          </w:p>
        </w:tc>
      </w:tr>
      <w:tr>
        <w:trPr>
          <w:trHeight w:val="181"/>
        </w:trPr>
        <w:tc>
          <w:tcPr>
            <w:tcW w:w="20" w:type="dxa"/>
            <w:vAlign w:val="bottom"/>
          </w:tcPr>
          <w:p>
            <w:pPr>
              <w:spacing w:after="0"/>
              <w:rPr>
                <w:sz w:val="15"/>
                <w:szCs w:val="15"/>
                <w:color w:val="auto"/>
              </w:rPr>
            </w:pPr>
          </w:p>
        </w:tc>
        <w:tc>
          <w:tcPr>
            <w:tcW w:w="808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60" w:type="dxa"/>
            <w:vAlign w:val="bottom"/>
          </w:tcPr>
          <w:p>
            <w:pPr>
              <w:spacing w:after="0"/>
              <w:rPr>
                <w:sz w:val="15"/>
                <w:szCs w:val="15"/>
                <w:color w:val="auto"/>
              </w:rPr>
            </w:pPr>
          </w:p>
        </w:tc>
        <w:tc>
          <w:tcPr>
            <w:tcW w:w="1160" w:type="dxa"/>
            <w:vAlign w:val="bottom"/>
          </w:tcPr>
          <w:p>
            <w:pPr>
              <w:jc w:val="right"/>
              <w:ind w:right="519"/>
              <w:spacing w:after="0" w:line="181"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19"/>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r>
      <w:tr>
        <w:trPr>
          <w:trHeight w:val="213"/>
        </w:trPr>
        <w:tc>
          <w:tcPr>
            <w:tcW w:w="20" w:type="dxa"/>
            <w:vAlign w:val="bottom"/>
          </w:tcPr>
          <w:p>
            <w:pPr>
              <w:spacing w:after="0"/>
              <w:rPr>
                <w:sz w:val="18"/>
                <w:szCs w:val="18"/>
                <w:color w:val="auto"/>
              </w:rPr>
            </w:pPr>
          </w:p>
        </w:tc>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Recognized in current year</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Amounts in beginning balance reclassified to net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13"/>
        </w:trPr>
        <w:tc>
          <w:tcPr>
            <w:tcW w:w="20" w:type="dxa"/>
            <w:vAlign w:val="bottom"/>
          </w:tcPr>
          <w:p>
            <w:pPr>
              <w:spacing w:after="0"/>
              <w:rPr>
                <w:sz w:val="18"/>
                <w:szCs w:val="18"/>
                <w:color w:val="auto"/>
              </w:rPr>
            </w:pPr>
          </w:p>
        </w:tc>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Current year amounts reclassified to net sales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Foreign currency impact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end of year</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9. LONG-TERM 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14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3"/>
                <w:szCs w:val="13"/>
                <w:color w:val="auto"/>
              </w:rPr>
            </w:pPr>
          </w:p>
        </w:tc>
        <w:tc>
          <w:tcPr>
            <w:tcW w:w="7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w w:val="99"/>
              </w:rPr>
              <w:t>Face</w:t>
            </w:r>
          </w:p>
        </w:tc>
        <w:tc>
          <w:tcPr>
            <w:tcW w:w="240" w:type="dxa"/>
            <w:vAlign w:val="bottom"/>
          </w:tcPr>
          <w:p>
            <w:pPr>
              <w:spacing w:after="0"/>
              <w:rPr>
                <w:sz w:val="13"/>
                <w:szCs w:val="13"/>
                <w:color w:val="auto"/>
              </w:rPr>
            </w:pPr>
          </w:p>
        </w:tc>
        <w:tc>
          <w:tcPr>
            <w:tcW w:w="102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6"/>
                <w:szCs w:val="16"/>
                <w:b w:val="1"/>
                <w:bCs w:val="1"/>
                <w:color w:val="auto"/>
              </w:rPr>
              <w:t>Book</w:t>
            </w:r>
          </w:p>
        </w:tc>
        <w:tc>
          <w:tcPr>
            <w:tcW w:w="220" w:type="dxa"/>
            <w:vAlign w:val="bottom"/>
          </w:tcPr>
          <w:p>
            <w:pPr>
              <w:spacing w:after="0"/>
              <w:rPr>
                <w:sz w:val="13"/>
                <w:szCs w:val="13"/>
                <w:color w:val="auto"/>
              </w:rPr>
            </w:pPr>
          </w:p>
        </w:tc>
        <w:tc>
          <w:tcPr>
            <w:tcW w:w="104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6"/>
                <w:szCs w:val="16"/>
                <w:b w:val="1"/>
                <w:bCs w:val="1"/>
                <w:color w:val="auto"/>
              </w:rPr>
              <w:t>Fair</w:t>
            </w:r>
          </w:p>
        </w:tc>
        <w:tc>
          <w:tcPr>
            <w:tcW w:w="240" w:type="dxa"/>
            <w:vAlign w:val="bottom"/>
          </w:tcPr>
          <w:p>
            <w:pPr>
              <w:spacing w:after="0"/>
              <w:rPr>
                <w:sz w:val="13"/>
                <w:szCs w:val="13"/>
                <w:color w:val="auto"/>
              </w:rPr>
            </w:pPr>
          </w:p>
        </w:tc>
        <w:tc>
          <w:tcPr>
            <w:tcW w:w="102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6"/>
                <w:szCs w:val="16"/>
                <w:b w:val="1"/>
                <w:bCs w:val="1"/>
                <w:color w:val="auto"/>
              </w:rPr>
              <w:t>Book</w:t>
            </w:r>
          </w:p>
        </w:tc>
        <w:tc>
          <w:tcPr>
            <w:tcW w:w="220" w:type="dxa"/>
            <w:vAlign w:val="bottom"/>
          </w:tcPr>
          <w:p>
            <w:pPr>
              <w:spacing w:after="0"/>
              <w:rPr>
                <w:sz w:val="13"/>
                <w:szCs w:val="13"/>
                <w:color w:val="auto"/>
              </w:rPr>
            </w:pPr>
          </w:p>
        </w:tc>
        <w:tc>
          <w:tcPr>
            <w:tcW w:w="940" w:type="dxa"/>
            <w:vAlign w:val="bottom"/>
          </w:tcPr>
          <w:p>
            <w:pPr>
              <w:jc w:val="right"/>
              <w:ind w:right="359"/>
              <w:spacing w:after="0" w:line="155"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40" w:type="dxa"/>
            <w:vAlign w:val="bottom"/>
            <w:gridSpan w:val="2"/>
            <w:vMerge w:val="continue"/>
          </w:tcPr>
          <w:p>
            <w:pPr>
              <w:spacing w:after="0"/>
              <w:rPr>
                <w:sz w:val="15"/>
                <w:szCs w:val="15"/>
                <w:color w:val="auto"/>
              </w:rPr>
            </w:pPr>
          </w:p>
        </w:tc>
        <w:tc>
          <w:tcPr>
            <w:tcW w:w="114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b w:val="1"/>
                <w:bCs w:val="1"/>
                <w:color w:val="auto"/>
                <w:w w:val="99"/>
              </w:rPr>
              <w:t>Rate</w:t>
            </w:r>
          </w:p>
        </w:tc>
        <w:tc>
          <w:tcPr>
            <w:tcW w:w="160" w:type="dxa"/>
            <w:vAlign w:val="bottom"/>
          </w:tcPr>
          <w:p>
            <w:pPr>
              <w:spacing w:after="0"/>
              <w:rPr>
                <w:sz w:val="15"/>
                <w:szCs w:val="15"/>
                <w:color w:val="auto"/>
              </w:rPr>
            </w:pPr>
          </w:p>
        </w:tc>
        <w:tc>
          <w:tcPr>
            <w:tcW w:w="74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240" w:type="dxa"/>
            <w:vAlign w:val="bottom"/>
          </w:tcPr>
          <w:p>
            <w:pPr>
              <w:spacing w:after="0"/>
              <w:rPr>
                <w:sz w:val="15"/>
                <w:szCs w:val="15"/>
                <w:color w:val="auto"/>
              </w:rPr>
            </w:pPr>
          </w:p>
        </w:tc>
        <w:tc>
          <w:tcPr>
            <w:tcW w:w="102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5"/>
                <w:szCs w:val="15"/>
                <w:color w:val="auto"/>
              </w:rPr>
            </w:pPr>
          </w:p>
        </w:tc>
        <w:tc>
          <w:tcPr>
            <w:tcW w:w="104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5"/>
                <w:szCs w:val="15"/>
                <w:b w:val="1"/>
                <w:bCs w:val="1"/>
                <w:color w:val="auto"/>
              </w:rPr>
              <w:t xml:space="preserve">Value </w:t>
            </w:r>
            <w:r>
              <w:rPr>
                <w:rFonts w:ascii="Times New Roman" w:cs="Times New Roman" w:eastAsia="Times New Roman" w:hAnsi="Times New Roman"/>
                <w:sz w:val="20"/>
                <w:szCs w:val="20"/>
                <w:b w:val="1"/>
                <w:bCs w:val="1"/>
                <w:color w:val="auto"/>
                <w:vertAlign w:val="superscript"/>
              </w:rPr>
              <w:t>1</w:t>
            </w:r>
          </w:p>
        </w:tc>
        <w:tc>
          <w:tcPr>
            <w:tcW w:w="240" w:type="dxa"/>
            <w:vAlign w:val="bottom"/>
          </w:tcPr>
          <w:p>
            <w:pPr>
              <w:spacing w:after="0"/>
              <w:rPr>
                <w:sz w:val="15"/>
                <w:szCs w:val="15"/>
                <w:color w:val="auto"/>
              </w:rPr>
            </w:pPr>
          </w:p>
        </w:tc>
        <w:tc>
          <w:tcPr>
            <w:tcW w:w="102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5"/>
                <w:szCs w:val="15"/>
                <w:color w:val="auto"/>
              </w:rPr>
            </w:pPr>
          </w:p>
        </w:tc>
        <w:tc>
          <w:tcPr>
            <w:tcW w:w="940" w:type="dxa"/>
            <w:vAlign w:val="bottom"/>
          </w:tcPr>
          <w:p>
            <w:pPr>
              <w:jc w:val="right"/>
              <w:ind w:right="259"/>
              <w:spacing w:after="0" w:line="176" w:lineRule="exact"/>
              <w:rPr>
                <w:sz w:val="20"/>
                <w:szCs w:val="20"/>
                <w:color w:val="auto"/>
              </w:rPr>
            </w:pPr>
            <w:r>
              <w:rPr>
                <w:rFonts w:ascii="Times New Roman" w:cs="Times New Roman" w:eastAsia="Times New Roman" w:hAnsi="Times New Roman"/>
                <w:sz w:val="15"/>
                <w:szCs w:val="15"/>
                <w:b w:val="1"/>
                <w:bCs w:val="1"/>
                <w:color w:val="auto"/>
              </w:rPr>
              <w:t xml:space="preserve">Value </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 Credit Agreement:</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Term Loan Facility, due 2030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2025 Term Credit Agreement: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Term Loan, due 2026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2024 Credit Agreement: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Term Loan</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2022 Credit Agreement: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Delayed Draw Term Loan</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Notes: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3.20% Senior Notes, due 2025</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3.45% Senior Notes, due 2026</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1.25% Senior Notes (EUR), due 2027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4.70% Senior Notes, due 2028</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4.90% Senior Notes, due 2030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5.611% Senior Notes, due 2034</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5.50% Senior Notes, due 2035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Borrowings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24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2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Less: current portion</w:t>
            </w: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 portion</w:t>
            </w: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See Note 17 for information on the fair value measurement of the Company's long-term debt.</w:t>
      </w:r>
    </w:p>
    <w:p>
      <w:pPr>
        <w:spacing w:after="0" w:line="11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Variances between Face Value and Book Value are the result of unamortized discounts and debt issuance costs as well as foreign exchange on the Euro Notes. Amortization of discounts and debt issuance fees are included in the calculation of Effective Interest Rate.</w:t>
      </w:r>
    </w:p>
    <w:p>
      <w:pPr>
        <w:spacing w:after="0" w:line="5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borrows and repays against the Revolving Credit Facility and an uncommitted money market line for added flexibility in liquidity to manage cash during the operating cycle. The proceeds from borrowing and the repayments are included within the Financing Activities section of the Consolidated Statements of Cash Flows.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7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As of December 31, 2025, the annual repayment requirements for debt obligations are as follows:</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9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90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13"/>
        </w:trPr>
        <w:tc>
          <w:tcPr>
            <w:tcW w:w="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9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r>
      <w:tr>
        <w:trPr>
          <w:trHeight w:val="219"/>
        </w:trPr>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9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r>
      <w:tr>
        <w:trPr>
          <w:trHeight w:val="213"/>
        </w:trPr>
        <w:tc>
          <w:tcPr>
            <w:tcW w:w="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2029</w:t>
            </w:r>
          </w:p>
        </w:tc>
        <w:tc>
          <w:tcPr>
            <w:tcW w:w="9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2030</w:t>
            </w:r>
          </w:p>
        </w:tc>
        <w:tc>
          <w:tcPr>
            <w:tcW w:w="9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r>
      <w:tr>
        <w:trPr>
          <w:trHeight w:val="213"/>
        </w:trPr>
        <w:tc>
          <w:tcPr>
            <w:tcW w:w="20" w:type="dxa"/>
            <w:vAlign w:val="bottom"/>
            <w:tcBorders>
              <w:bottom w:val="single" w:sz="8" w:color="CCEEFF"/>
            </w:tcBorders>
          </w:tcPr>
          <w:p>
            <w:pPr>
              <w:spacing w:after="0"/>
              <w:rPr>
                <w:sz w:val="18"/>
                <w:szCs w:val="18"/>
                <w:color w:val="auto"/>
              </w:rPr>
            </w:pPr>
          </w:p>
        </w:tc>
        <w:tc>
          <w:tcPr>
            <w:tcW w:w="97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0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Company has debt issuance costs related to certain financing transactions which are amortized through interest expense. As of December 31, 2025 and 2024, the Company had total unamortized debt issuance costs and discounts of $26 million and $15 million,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November 28, 2025, the Company entered into a new stand-alone credit agreement (the "2025 Term Credit Agreement") for a term loan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million. Borrowings under the 2025 Term Credit Agreement bear interest at a base rate plus an interest rate spread up to 1.50% based on the lower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pricing corresponding to (i) the Company's Leverage Ratio or (ii) the Company's public credit rating. The frequency of interest payments varies 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Interest Election Request. The term loan issued under this agreement will mature on November 27, 2026. The obligations of the Company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are unsecured and have been guaranteed by certain of the Company's subsidiaries. The agreement contains affirmative, negative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covenants, and events of default customary for facilities of this type. Under the 2025 Term Credit Agreement, the Company has agreed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 the same Interest Coverage Ratio and Leverage Ratio as the 2025 Credit Agreement. The borrowing rate for the agreement is a variable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assessed periodically in accordance with the terms of the agreement. At December 31, 2025, the interest rate was 4.7%.</w:t>
      </w:r>
    </w:p>
    <w:p>
      <w:pPr>
        <w:spacing w:after="0" w:line="99" w:lineRule="exact"/>
        <w:rPr>
          <w:sz w:val="20"/>
          <w:szCs w:val="20"/>
          <w:color w:val="auto"/>
        </w:rPr>
      </w:pPr>
    </w:p>
    <w:p>
      <w:pPr>
        <w:ind w:right="280" w:firstLine="486"/>
        <w:spacing w:after="0" w:line="271" w:lineRule="auto"/>
        <w:rPr>
          <w:sz w:val="20"/>
          <w:szCs w:val="20"/>
          <w:color w:val="auto"/>
        </w:rPr>
      </w:pPr>
      <w:r>
        <w:rPr>
          <w:rFonts w:ascii="Times New Roman" w:cs="Times New Roman" w:eastAsia="Times New Roman" w:hAnsi="Times New Roman"/>
          <w:sz w:val="17"/>
          <w:szCs w:val="17"/>
          <w:color w:val="auto"/>
        </w:rPr>
        <w:t>On April 23, 2025, the Company entered into a new unsecured amended and restated credit agreement (the "2025 Credit Agreement"), which amended and restated the 2022 Credit Agreement and refinanced the 2024 Credit Agreement. The 2025 Credit Agreement provides for borrowings consisting of (i) a multi-currency revolving credit facility for a U.S. dollar equivalent of up to $2.0 billion (the "Revolving Credit Facility") and (ii) a delayed draw term loan facility of $725 million (the "Term Loan Facility"), all pursuant to the terms and conditions of the 2025 Credit Agreement. The Term Loan Facility was utilized to refinance outstanding borrowings on the 2022 and 2024 credit agreements. During the third quarter of 2025, the remaining $250 million under the Term Loan Facility was drawn and utilized as part of funding for the Inspection Technologies acquisition. The 2025 Credit Agreement includes an incremental facility that allows the Company to request, at prevailing market rates, an aggregate amount not to exceed $1.0 billion, (a) increases to the borrowing commitments under the Revolving Credit Facility and/or (b) new incremental term loan commitments (the "Incremental Facility"). The agreement contains affirmative, negative and financial covenants, and events of default customary for facilities of this type.</w:t>
      </w:r>
    </w:p>
    <w:p>
      <w:pPr>
        <w:spacing w:after="0" w:line="65"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Revolving Credit Facility matures on April 23, 2030. The Term Loan Facility was fully drawn at December 31, 2025, and all borrowings mature on April 23, 2030. Amounts borrowed and repaid under the Term Loan Facility may not be reborrowed. The applicable interest rate for borrowings under the 2025 Credit Agreement includes a base rate (per the Interest Election terms of the agreement) plus an interest rate spread up to 1.75% based on the lower of the pricing corresponding to (i) the Company's financial leverage or (ii) the Company's public credit rating. At December 31, 2025, the interest rate on the Term Loan Facility was 5.5%, and the interest rate on the undrawn Revolving Credit Facility was 4.9%. Obligations under the 2025 Credit Agreement have been guaranteed by certain of the Company’s subsidiaries.</w:t>
      </w:r>
    </w:p>
    <w:p>
      <w:pPr>
        <w:spacing w:after="0" w:line="66" w:lineRule="exact"/>
        <w:rPr>
          <w:sz w:val="20"/>
          <w:szCs w:val="20"/>
          <w:color w:val="auto"/>
        </w:rPr>
      </w:pPr>
    </w:p>
    <w:p>
      <w:pPr>
        <w:ind w:right="40" w:firstLine="486"/>
        <w:spacing w:after="0" w:line="242" w:lineRule="auto"/>
        <w:rPr>
          <w:sz w:val="20"/>
          <w:szCs w:val="20"/>
          <w:color w:val="auto"/>
        </w:rPr>
      </w:pPr>
      <w:r>
        <w:rPr>
          <w:rFonts w:ascii="Times New Roman" w:cs="Times New Roman" w:eastAsia="Times New Roman" w:hAnsi="Times New Roman"/>
          <w:sz w:val="18"/>
          <w:szCs w:val="18"/>
          <w:color w:val="auto"/>
        </w:rPr>
        <w:t>Under the 2025 Credit Agreement, the Company has agreed to maintain an Interest Coverage Ratio of at least 3.0 to 1.0, and a Leverage Ratio not to exceed 3.5 to 1.0. The Interest Coverage Ratio is calculated using an earnings metric as defined in the agreement compared to Interest Expense for the four quarters then ended. The Leverage Ratio is defined as net debt (total debt, net of up to $500 million of unrestricted cash) as of the last day of such fiscal quarter to the defined earnings metric for the four quarters then ended. Additionally, the Company may effect an increase in the maximum Leverage Ratio in contemplation of a Material Acquisition. All terms are as defined in the 2025 Credit Agreement.</w:t>
      </w:r>
    </w:p>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availability under the 2025 Credit Agreement as of December 31,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Revolving Credit</w:t>
            </w:r>
          </w:p>
        </w:tc>
        <w:tc>
          <w:tcPr>
            <w:tcW w:w="16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Term Loan Facility</w:t>
            </w:r>
          </w:p>
        </w:tc>
        <w:tc>
          <w:tcPr>
            <w:tcW w:w="300" w:type="dxa"/>
            <w:vAlign w:val="bottom"/>
          </w:tcPr>
          <w:p>
            <w:pPr>
              <w:spacing w:after="0"/>
              <w:rPr>
                <w:sz w:val="16"/>
                <w:szCs w:val="16"/>
                <w:color w:val="auto"/>
              </w:rPr>
            </w:pPr>
          </w:p>
        </w:tc>
        <w:tc>
          <w:tcPr>
            <w:tcW w:w="104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4"/>
                <w:szCs w:val="14"/>
                <w:color w:val="auto"/>
              </w:rPr>
            </w:pPr>
          </w:p>
        </w:tc>
        <w:tc>
          <w:tcPr>
            <w:tcW w:w="14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Facility</w:t>
            </w:r>
          </w:p>
        </w:tc>
        <w:tc>
          <w:tcPr>
            <w:tcW w:w="16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Maximum Availability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Borrowings</w:t>
            </w:r>
          </w:p>
        </w:tc>
        <w:tc>
          <w:tcPr>
            <w:tcW w:w="1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Letters of Credit Under Credit Agreement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Availability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0" w:firstLine="486"/>
        <w:spacing w:after="0" w:line="266" w:lineRule="auto"/>
        <w:rPr>
          <w:sz w:val="20"/>
          <w:szCs w:val="20"/>
          <w:color w:val="auto"/>
        </w:rPr>
      </w:pPr>
      <w:r>
        <w:rPr>
          <w:rFonts w:ascii="Times New Roman" w:cs="Times New Roman" w:eastAsia="Times New Roman" w:hAnsi="Times New Roman"/>
          <w:sz w:val="18"/>
          <w:szCs w:val="18"/>
          <w:color w:val="auto"/>
        </w:rPr>
        <w:t>The Company was in compliance with all financial covenants in the 2025 Credit Agreement and the 2025 Term Credit Agreement as of December 31,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Intra-Quarter Uncommitted Money Market Line Credit Agreement</w:t>
      </w:r>
    </w:p>
    <w:p>
      <w:pPr>
        <w:spacing w:after="0" w:line="119"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During the third quarter of 2024, the Company entered into an uncommitted bilateral money market line credit agreement which provides an aggregate borrowing capacity of $150 million, for general business purposes and working capital needs within a quarter.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2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Company or its subsidiaries may issue senior notes from time to time. These notes are comprised of our 3.45% Senior Notes due 2026 (the "2026 Notes"), 1.25% Senior Notes (EUR) due 2027 (the "Euro Notes"), 4.70% Senior Notes due 2028 (the "2028 Notes"), 4.90% Senior Notes due 2030 (the "2030 Notes"), 5.611% Senior Notes due 2034 (the "2034 Notes"),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65" w:name="page66"/>
    <w:bookmarkEnd w:id="65"/>
    <w:p>
      <w:pPr>
        <w:spacing w:after="0" w:line="256" w:lineRule="auto"/>
        <w:rPr>
          <w:sz w:val="20"/>
          <w:szCs w:val="20"/>
          <w:color w:val="auto"/>
        </w:rPr>
      </w:pPr>
      <w:r>
        <w:rPr>
          <w:rFonts w:ascii="Times New Roman" w:cs="Times New Roman" w:eastAsia="Times New Roman" w:hAnsi="Times New Roman"/>
          <w:sz w:val="18"/>
          <w:szCs w:val="18"/>
          <w:color w:val="auto"/>
        </w:rPr>
        <w:t>and 5.50% Senior Notes due 2035 (the "2035 Notes"). The 2026 Notes, 2028 Notes, 2030 Notes, 2034 Notes, and 2035 Notes are the “US Notes”, and collectively with the Euro Notes, the “Senior Notes.” Interest on the US Notes is payable semi-annually and interest on the Euro Notes is paid annually. Each series of the Senior Notes may be redeemed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US Notes and the Company's guarantee of the Euro Notes are senior unsecured obligations of the Company and rank pari passu with all existing and future senior debt and are senior to all existing and future subordinated indebtedness of the Company.</w:t>
      </w:r>
    </w:p>
    <w:p>
      <w:pPr>
        <w:spacing w:after="0" w:line="7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On May 29, 2025, the Company issued (i) $500 million of 4.90% Senior Notes due 2030 and (ii) $750 million of 5.50% Senior Notes due 2035. The 2030 Notes and 2035 Notes were issued at approximately 100% of face value, and the Company recognized approximately $12 million of total deferred financing costs. Interest on the 2030 Notes and 2035 Notes will accrue at a rate of 4.90% and 5.50%, respectively, per year, payable semi-annually on May 29 and November 29 of each year, commencing November 29, 2025. The 2030 Notes will mature on May 29, 2030, and the 2035 Notes will mature on May 29, 2035.</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Proceeds from the 2030 Notes and cash on hand were utilized to repay the outstanding amount of 3.20% Senior Notes due 2025 at maturity.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the 2035 Notes were utilized as part of funding for the Inspection Technologies acquisition, which closed July 1, 2025.</w:t>
      </w:r>
    </w:p>
    <w:p>
      <w:pPr>
        <w:spacing w:after="0" w:line="9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On March 11, 2024, the Company issued $500 million of 5.611% Senior Notes due in 2034. The 2034 Notes were issued at 100% of face value and the Company recognized approximately $5 million of total deferred financing costs. Interest on the 2034 Notes accrues at a rate of 5.611% per year, payable semi-annually on March 11 and September 11 of each year, commencing September 11, 2024. The 2034 Notes will mature on March 11, 2034.</w:t>
      </w:r>
    </w:p>
    <w:p>
      <w:pPr>
        <w:spacing w:after="0" w:line="68"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Proceeds from the 2034 Notes, combined with the proceeds from the term loan under the 2024 Credit Agreement and cash on hand, were utilized to repay the outstanding amount of our 4.15% Senior Notes due 2024 (the "2024 Notes") at maturity.</w:t>
      </w:r>
    </w:p>
    <w:p>
      <w:pPr>
        <w:spacing w:after="0" w:line="54"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Beginning September 15, 2023, the effective interest rate for the 2028 Notes was reduced by 0.25% due to a favorable change in Wabtec's corporate credit rating and the rating of the aforementioned notes.</w:t>
      </w:r>
    </w:p>
    <w:p>
      <w:pPr>
        <w:spacing w:after="0" w:line="40" w:lineRule="exact"/>
        <w:rPr>
          <w:sz w:val="20"/>
          <w:szCs w:val="20"/>
          <w:color w:val="auto"/>
        </w:rPr>
      </w:pPr>
    </w:p>
    <w:p>
      <w:pPr>
        <w:ind w:right="20" w:firstLine="486"/>
        <w:spacing w:after="0" w:line="241" w:lineRule="auto"/>
        <w:rPr>
          <w:sz w:val="20"/>
          <w:szCs w:val="20"/>
          <w:color w:val="auto"/>
        </w:rPr>
      </w:pPr>
      <w:r>
        <w:rPr>
          <w:rFonts w:ascii="Times New Roman" w:cs="Times New Roman" w:eastAsia="Times New Roman" w:hAnsi="Times New Roman"/>
          <w:sz w:val="18"/>
          <w:szCs w:val="18"/>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 The US Notes are fully and unconditionally guaranteed, jointly and severally, on an unsecured basis by each of the Company's subsidiaries that is a guarantor under the 2025 Credit Agreement. The Euro Notes were issued by Wabtec Transportation Netherlands B.V. and are fully and unconditionally guaranteed by the Company.</w:t>
      </w:r>
    </w:p>
    <w:p>
      <w:pPr>
        <w:spacing w:after="0" w:line="8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Pooling</w:t>
      </w:r>
    </w:p>
    <w:p>
      <w:pPr>
        <w:spacing w:after="0" w:line="11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Wabtec aggregates the Company's domestic cash position on a daily basis. Outside the United States, the Company uses cash pooling arrangements with banks to help manage liquidity requirements. In these pooling arrangements, Wabtec subsidiary “Participants” agree with a single bank that the cash balances of any of the pool Participants with the bank will be subject to a full right of set-off against amounts other Participants owe the bank, and the bank provides for overdrafts as long as the net overdraft balance for all Participants does not exceed an agreed-upon level. Typically, each Participant pays interest on outstanding overdrafts and receives interest on cash balances. The Company's Consolidated Balance Sheets reflect cash, net of bank overdrafts, under all pooling arrangements.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 and Bank Guarantees</w:t>
      </w:r>
    </w:p>
    <w:p>
      <w:pPr>
        <w:spacing w:after="0" w:line="119"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In the ordinary course of its business, the Company arranges for certain types of bank guarantees and letters of credit, such as performance bonds, bid bonds and financial guarantees, that are issued by certain banks and insurance companies to support customer contracts. The outstanding amount, including the letters of credit issued under the credit facility, was $1,141 million and $931 million at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6" w:name="page67"/>
    <w:bookmarkEnd w:id="66"/>
    <w:p>
      <w:pPr>
        <w:ind w:right="8460" w:firstLine="8"/>
        <w:spacing w:after="0" w:line="409" w:lineRule="auto"/>
        <w:tabs>
          <w:tab w:leader="none" w:pos="27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Defined Benefit Pension Plans</w:t>
      </w:r>
    </w:p>
    <w:p>
      <w:pPr>
        <w:spacing w:after="0" w:line="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Company sponsors defined benefit pension plans that cover certain U.S. and international employees, primarily in the United Kingdom, Canada and Germany, which provide benefits of stated amounts for each year of service of the employee. The majority of these plans are frozen, and therefore, participants do not accrue additional benefits. Retirement plan expenses are not material to the Company's results of operations. Plan assets are primarily comprised of cash, equity security funds and debt security funds. The following table provides summarized information regarding the Company's significant defined benefit pension plans by U.S. and international components: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U.S.</w:t>
            </w: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00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49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3"/>
                <w:szCs w:val="13"/>
                <w:color w:val="auto"/>
              </w:rPr>
            </w:pPr>
          </w:p>
        </w:tc>
        <w:tc>
          <w:tcPr>
            <w:tcW w:w="1160" w:type="dxa"/>
            <w:vAlign w:val="bottom"/>
          </w:tcPr>
          <w:p>
            <w:pPr>
              <w:jc w:val="right"/>
              <w:ind w:right="49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49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1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right"/>
              <w:ind w:right="49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center"/>
              <w:ind w:left="799"/>
              <w:spacing w:after="0"/>
              <w:rPr>
                <w:sz w:val="20"/>
                <w:szCs w:val="20"/>
                <w:color w:val="auto"/>
              </w:rPr>
            </w:pPr>
            <w:r>
              <w:rPr>
                <w:rFonts w:ascii="Times New Roman" w:cs="Times New Roman" w:eastAsia="Times New Roman" w:hAnsi="Times New Roman"/>
                <w:sz w:val="16"/>
                <w:szCs w:val="16"/>
                <w:color w:val="auto"/>
                <w:w w:val="99"/>
              </w:rPr>
              <w:t>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w w:val="99"/>
              </w:rPr>
              <w:t>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13"/>
        </w:trPr>
        <w:tc>
          <w:tcPr>
            <w:tcW w:w="20" w:type="dxa"/>
            <w:vAlign w:val="bottom"/>
          </w:tcPr>
          <w:p>
            <w:pPr>
              <w:spacing w:after="0"/>
              <w:rPr>
                <w:sz w:val="18"/>
                <w:szCs w:val="18"/>
                <w:color w:val="auto"/>
              </w:rPr>
            </w:pPr>
          </w:p>
        </w:tc>
        <w:tc>
          <w:tcPr>
            <w:tcW w:w="49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Projected benefit obligation</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w w:val="97"/>
              </w:rPr>
              <w:t>(52)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9"/>
        </w:trPr>
        <w:tc>
          <w:tcPr>
            <w:tcW w:w="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benefit obligation</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w w:val="97"/>
              </w:rPr>
              <w:t>(52)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14"/>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Amounts recognized in the statement of financial position consist of:</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2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0"/>
        </w:trPr>
        <w:tc>
          <w:tcPr>
            <w:tcW w:w="20" w:type="dxa"/>
            <w:vAlign w:val="bottom"/>
          </w:tcPr>
          <w:p>
            <w:pPr>
              <w:spacing w:after="0"/>
              <w:rPr>
                <w:sz w:val="18"/>
                <w:szCs w:val="18"/>
                <w:color w:val="auto"/>
              </w:rPr>
            </w:pPr>
          </w:p>
        </w:tc>
        <w:tc>
          <w:tcPr>
            <w:tcW w:w="49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bl>
    <w:p>
      <w:pPr>
        <w:spacing w:after="0" w:line="244" w:lineRule="exact"/>
        <w:rPr>
          <w:sz w:val="20"/>
          <w:szCs w:val="20"/>
          <w:color w:val="auto"/>
        </w:rPr>
      </w:pPr>
    </w:p>
    <w:p>
      <w:pPr>
        <w:ind w:right="860" w:firstLine="486"/>
        <w:spacing w:after="0" w:line="282" w:lineRule="auto"/>
        <w:rPr>
          <w:sz w:val="20"/>
          <w:szCs w:val="20"/>
          <w:color w:val="auto"/>
        </w:rPr>
      </w:pPr>
      <w:r>
        <w:rPr>
          <w:rFonts w:ascii="Times New Roman" w:cs="Times New Roman" w:eastAsia="Times New Roman" w:hAnsi="Times New Roman"/>
          <w:sz w:val="18"/>
          <w:szCs w:val="18"/>
          <w:color w:val="auto"/>
        </w:rPr>
        <w:t>Benefit payments expected to be paid to plan participants for the U.S. and international plans combined are expected to be approximately $20 million each year for the next 10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Company is responsible for filing consolidated U.S. federal, foreign and combined, unitary or separate state income tax returns. The Company is responsible for paying the taxes relating to such returns, including any subsequent adjustments resulting from the redetermination of such tax liabilities by the applicable taxing authorities.</w:t>
      </w:r>
    </w:p>
    <w:p>
      <w:pPr>
        <w:spacing w:after="0" w:line="120" w:lineRule="exact"/>
        <w:rPr>
          <w:sz w:val="20"/>
          <w:szCs w:val="20"/>
          <w:color w:val="auto"/>
        </w:rPr>
      </w:pPr>
    </w:p>
    <w:p>
      <w:pPr>
        <w:ind w:right="160" w:firstLine="486"/>
        <w:spacing w:after="0" w:line="24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amendments in this update required prospective changes to certain annual income tax disclosures and are effective for Wabtec's annual reporting periods beginning January 1, 2025. As such, the impacted disclosures for 2025 are reflected below in accordance with the updated requirements. These updates include specific categories and presentation within the income tax rate reconciliation and enhanced disaggregation of disclosures about income taxes paid and income tax expense, among other changes. As allowed under the ASU, Wabtec has not applied these changes retroactively. The amendments in this update did not affect the recognition, measurement, or financial statement presentation of income taxes.</w:t>
      </w:r>
    </w:p>
    <w:p>
      <w:pPr>
        <w:spacing w:after="0" w:line="74" w:lineRule="exact"/>
        <w:rPr>
          <w:sz w:val="20"/>
          <w:szCs w:val="20"/>
          <w:color w:val="auto"/>
        </w:rPr>
      </w:pPr>
    </w:p>
    <w:p>
      <w:pPr>
        <w:ind w:right="580" w:firstLine="486"/>
        <w:spacing w:after="0" w:line="275" w:lineRule="auto"/>
        <w:rPr>
          <w:sz w:val="20"/>
          <w:szCs w:val="20"/>
          <w:color w:val="auto"/>
        </w:rPr>
      </w:pPr>
      <w:r>
        <w:rPr>
          <w:rFonts w:ascii="Times New Roman" w:cs="Times New Roman" w:eastAsia="Times New Roman" w:hAnsi="Times New Roman"/>
          <w:sz w:val="18"/>
          <w:szCs w:val="18"/>
          <w:color w:val="auto"/>
        </w:rPr>
        <w:t>The components of the income before income taxes for the Company’s domestic and foreign operations for the years ended December 31 are provided below:</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00"/>
              <w:spacing w:after="0" w:line="165" w:lineRule="exact"/>
              <w:rPr>
                <w:sz w:val="20"/>
                <w:szCs w:val="20"/>
                <w:color w:val="auto"/>
              </w:rPr>
            </w:pPr>
            <w:r>
              <w:rPr>
                <w:rFonts w:ascii="Times New Roman" w:cs="Times New Roman" w:eastAsia="Times New Roman" w:hAnsi="Times New Roman"/>
                <w:sz w:val="16"/>
                <w:szCs w:val="16"/>
                <w:b w:val="1"/>
                <w:bCs w:val="1"/>
                <w:color w:val="auto"/>
              </w:rPr>
              <w:t>For the year ended</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64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3"/>
                <w:szCs w:val="13"/>
                <w:color w:val="auto"/>
              </w:rPr>
            </w:pPr>
          </w:p>
        </w:tc>
        <w:tc>
          <w:tcPr>
            <w:tcW w:w="1160" w:type="dxa"/>
            <w:vAlign w:val="bottom"/>
          </w:tcPr>
          <w:p>
            <w:pPr>
              <w:jc w:val="right"/>
              <w:ind w:right="51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1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Domestic</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r>
      <w:tr>
        <w:trPr>
          <w:trHeight w:val="213"/>
        </w:trPr>
        <w:tc>
          <w:tcPr>
            <w:tcW w:w="2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Foreign</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consolidated provision for income taxes included in the Consolidated Statements of Income consisted of the following: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64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3"/>
                <w:szCs w:val="13"/>
                <w:color w:val="auto"/>
              </w:rPr>
            </w:pPr>
          </w:p>
        </w:tc>
        <w:tc>
          <w:tcPr>
            <w:tcW w:w="1160" w:type="dxa"/>
            <w:vAlign w:val="bottom"/>
          </w:tcPr>
          <w:p>
            <w:pPr>
              <w:jc w:val="right"/>
              <w:ind w:right="49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right="39"/>
              <w:spacing w:after="0" w:line="142"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1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tax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Federal</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1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State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20" w:type="dxa"/>
            <w:vAlign w:val="bottom"/>
            <w:tcBorders>
              <w:bottom w:val="single" w:sz="8" w:color="CCEEFF"/>
            </w:tcBorders>
          </w:tcPr>
          <w:p>
            <w:pPr>
              <w:spacing w:after="0"/>
              <w:rPr>
                <w:sz w:val="18"/>
                <w:szCs w:val="18"/>
                <w:color w:val="auto"/>
              </w:rPr>
            </w:pPr>
          </w:p>
        </w:tc>
        <w:tc>
          <w:tcPr>
            <w:tcW w:w="64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Foreign</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12"/>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r>
      <w:tr>
        <w:trPr>
          <w:trHeight w:val="206"/>
        </w:trPr>
        <w:tc>
          <w:tcPr>
            <w:tcW w:w="20" w:type="dxa"/>
            <w:vAlign w:val="bottom"/>
          </w:tcPr>
          <w:p>
            <w:pPr>
              <w:spacing w:after="0"/>
              <w:rPr>
                <w:sz w:val="17"/>
                <w:szCs w:val="17"/>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expense (benefit)</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Federal</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3"/>
        </w:trPr>
        <w:tc>
          <w:tcPr>
            <w:tcW w:w="2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State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0"/>
        </w:trPr>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58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4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provision</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8" w:name="page69"/>
    <w:bookmarkEnd w:id="68"/>
    <w:p>
      <w:pPr>
        <w:ind w:firstLine="486"/>
        <w:spacing w:after="0" w:line="266" w:lineRule="auto"/>
        <w:rPr>
          <w:sz w:val="20"/>
          <w:szCs w:val="20"/>
          <w:color w:val="auto"/>
        </w:rPr>
      </w:pPr>
      <w:r>
        <w:rPr>
          <w:rFonts w:ascii="Times New Roman" w:cs="Times New Roman" w:eastAsia="Times New Roman" w:hAnsi="Times New Roman"/>
          <w:sz w:val="18"/>
          <w:szCs w:val="18"/>
          <w:color w:val="auto"/>
        </w:rPr>
        <w:t>A reconciliation of the United States federal statutory income tax rate to the effective income tax rate on operations for the years ended December 31 is provided below:</w:t>
      </w: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0" w:type="dxa"/>
            <w:vAlign w:val="bottom"/>
            <w:gridSpan w:val="3"/>
          </w:tcPr>
          <w:p>
            <w:pPr>
              <w:jc w:val="center"/>
              <w:ind w:left="139"/>
              <w:spacing w:after="0" w:line="167" w:lineRule="exact"/>
              <w:rPr>
                <w:sz w:val="20"/>
                <w:szCs w:val="20"/>
                <w:color w:val="auto"/>
              </w:rPr>
            </w:pPr>
            <w:r>
              <w:rPr>
                <w:rFonts w:ascii="Times New Roman" w:cs="Times New Roman" w:eastAsia="Times New Roman" w:hAnsi="Times New Roman"/>
                <w:sz w:val="16"/>
                <w:szCs w:val="16"/>
                <w:b w:val="1"/>
                <w:bCs w:val="1"/>
                <w:color w:val="auto"/>
              </w:rPr>
              <w:t>For the year ended</w:t>
            </w:r>
          </w:p>
        </w:tc>
        <w:tc>
          <w:tcPr>
            <w:tcW w:w="74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0" w:type="dxa"/>
            <w:vAlign w:val="bottom"/>
            <w:gridSpan w:val="3"/>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Pr>
          <w:p>
            <w:pPr>
              <w:spacing w:after="0"/>
              <w:rPr>
                <w:sz w:val="18"/>
                <w:szCs w:val="18"/>
                <w:color w:val="auto"/>
              </w:rPr>
            </w:pPr>
          </w:p>
        </w:tc>
      </w:tr>
      <w:tr>
        <w:trPr>
          <w:trHeight w:val="166"/>
        </w:trPr>
        <w:tc>
          <w:tcPr>
            <w:tcW w:w="20" w:type="dxa"/>
            <w:vAlign w:val="bottom"/>
          </w:tcPr>
          <w:p>
            <w:pPr>
              <w:spacing w:after="0"/>
              <w:rPr>
                <w:sz w:val="14"/>
                <w:szCs w:val="14"/>
                <w:color w:val="auto"/>
              </w:rPr>
            </w:pPr>
          </w:p>
        </w:tc>
        <w:tc>
          <w:tcPr>
            <w:tcW w:w="78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540" w:type="dxa"/>
            <w:vAlign w:val="bottom"/>
          </w:tcPr>
          <w:p>
            <w:pPr>
              <w:spacing w:after="0"/>
              <w:rPr>
                <w:sz w:val="14"/>
                <w:szCs w:val="14"/>
                <w:color w:val="auto"/>
              </w:rPr>
            </w:pPr>
          </w:p>
        </w:tc>
        <w:tc>
          <w:tcPr>
            <w:tcW w:w="2000" w:type="dxa"/>
            <w:vAlign w:val="bottom"/>
            <w:gridSpan w:val="3"/>
          </w:tcPr>
          <w:p>
            <w:pPr>
              <w:jc w:val="center"/>
              <w:ind w:left="119"/>
              <w:spacing w:after="0" w:line="146" w:lineRule="exact"/>
              <w:rPr>
                <w:sz w:val="20"/>
                <w:szCs w:val="20"/>
                <w:color w:val="auto"/>
              </w:rPr>
            </w:pPr>
            <w:r>
              <w:rPr>
                <w:rFonts w:ascii="Times New Roman" w:cs="Times New Roman" w:eastAsia="Times New Roman" w:hAnsi="Times New Roman"/>
                <w:sz w:val="16"/>
                <w:szCs w:val="16"/>
                <w:b w:val="1"/>
                <w:bCs w:val="1"/>
                <w:color w:val="auto"/>
                <w:w w:val="99"/>
              </w:rPr>
              <w:t>2025</w:t>
            </w:r>
          </w:p>
        </w:tc>
        <w:tc>
          <w:tcPr>
            <w:tcW w:w="740" w:type="dxa"/>
            <w:vAlign w:val="bottom"/>
          </w:tcPr>
          <w:p>
            <w:pPr>
              <w:spacing w:after="0"/>
              <w:rPr>
                <w:sz w:val="14"/>
                <w:szCs w:val="14"/>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U.S. federal statutory rate</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State and local income tax, net of federal income tax effect</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tax effects</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r>
      <w:tr>
        <w:trPr>
          <w:trHeight w:val="213"/>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of cross-border tax laws:</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branch income</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credits:</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Foreign tax credits</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r>
      <w:tr>
        <w:trPr>
          <w:trHeight w:val="213"/>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unrecognized tax benefits</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20" w:type="dxa"/>
            <w:vAlign w:val="bottom"/>
            <w:tcBorders>
              <w:bottom w:val="single" w:sz="8" w:color="CCEEFF"/>
            </w:tcBorders>
          </w:tcPr>
          <w:p>
            <w:pPr>
              <w:spacing w:after="0"/>
              <w:rPr>
                <w:sz w:val="18"/>
                <w:szCs w:val="18"/>
                <w:color w:val="auto"/>
              </w:rPr>
            </w:pPr>
          </w:p>
        </w:tc>
        <w:tc>
          <w:tcPr>
            <w:tcW w:w="7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 adjustments</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(0.8)</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Effective rate</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majority of State and local income tax, net of federal income tax effect for the year ended December 31, 2025 is attributable to state taxes in Illinois, Pennsylvania, California, and Texas.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360" w:type="dxa"/>
            <w:vAlign w:val="bottom"/>
            <w:gridSpan w:val="3"/>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100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360" w:type="dxa"/>
            <w:vAlign w:val="bottom"/>
            <w:tcBorders>
              <w:bottom w:val="single" w:sz="8" w:color="auto"/>
            </w:tcBorders>
            <w:gridSpan w:val="3"/>
          </w:tcPr>
          <w:p>
            <w:pPr>
              <w:jc w:val="center"/>
              <w:ind w:left="8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7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20" w:type="dxa"/>
            <w:vAlign w:val="bottom"/>
          </w:tcPr>
          <w:p>
            <w:pPr>
              <w:jc w:val="right"/>
              <w:ind w:right="55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tcPr>
          <w:p>
            <w:pPr>
              <w:jc w:val="right"/>
              <w:ind w:right="579"/>
              <w:spacing w:after="0" w:line="142" w:lineRule="exact"/>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U.S. federal statutory rate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State taxes</w:t>
            </w: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w:t>
            </w:r>
          </w:p>
        </w:tc>
        <w:tc>
          <w:tcPr>
            <w:tcW w:w="1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 credit</w:t>
            </w:r>
          </w:p>
        </w:tc>
        <w:tc>
          <w:tcPr>
            <w:tcW w:w="1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(0.6)</w:t>
            </w:r>
          </w:p>
        </w:tc>
      </w:tr>
      <w:tr>
        <w:trPr>
          <w:trHeight w:val="219"/>
        </w:trPr>
        <w:tc>
          <w:tcPr>
            <w:tcW w:w="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Non-taxable gain on acquisition</w:t>
            </w:r>
          </w:p>
        </w:tc>
        <w:tc>
          <w:tcPr>
            <w:tcW w:w="236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 net operating loss carryback</w:t>
            </w:r>
          </w:p>
        </w:tc>
        <w:tc>
          <w:tcPr>
            <w:tcW w:w="1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valuation allowances</w:t>
            </w:r>
          </w:p>
        </w:tc>
        <w:tc>
          <w:tcPr>
            <w:tcW w:w="16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 tax reform provision</w:t>
            </w:r>
          </w:p>
        </w:tc>
        <w:tc>
          <w:tcPr>
            <w:tcW w:w="1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0.6</w:t>
            </w:r>
          </w:p>
        </w:tc>
      </w:tr>
      <w:tr>
        <w:trPr>
          <w:trHeight w:val="216"/>
        </w:trPr>
        <w:tc>
          <w:tcPr>
            <w:tcW w:w="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net</w:t>
            </w:r>
          </w:p>
        </w:tc>
        <w:tc>
          <w:tcPr>
            <w:tcW w:w="236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(0.2)</w:t>
            </w:r>
          </w:p>
        </w:tc>
      </w:tr>
      <w:tr>
        <w:trPr>
          <w:trHeight w:val="212"/>
        </w:trPr>
        <w:tc>
          <w:tcPr>
            <w:tcW w:w="20" w:type="dxa"/>
            <w:vAlign w:val="bottom"/>
          </w:tcPr>
          <w:p>
            <w:pPr>
              <w:spacing w:after="0"/>
              <w:rPr>
                <w:sz w:val="18"/>
                <w:szCs w:val="18"/>
                <w:color w:val="auto"/>
              </w:rPr>
            </w:pPr>
          </w:p>
        </w:tc>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Effective rate</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24.3 %</w:t>
            </w: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24.5 %</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60" w:firstLine="486"/>
        <w:spacing w:after="0" w:line="266" w:lineRule="auto"/>
        <w:rPr>
          <w:sz w:val="20"/>
          <w:szCs w:val="20"/>
          <w:color w:val="auto"/>
        </w:rPr>
      </w:pPr>
      <w:r>
        <w:rPr>
          <w:rFonts w:ascii="Times New Roman" w:cs="Times New Roman" w:eastAsia="Times New Roman" w:hAnsi="Times New Roman"/>
          <w:sz w:val="18"/>
          <w:szCs w:val="18"/>
          <w:color w:val="auto"/>
        </w:rPr>
        <w:t>The increase in effective tax rate from 2024 to 2025 was primarily due to changes in jurisdictional mix of earnings and the non-deductible loss generated from the divestiture of a business as part of the Portfolio Optimization initiative.</w:t>
      </w:r>
    </w:p>
    <w:p>
      <w:pPr>
        <w:spacing w:after="0" w:line="108"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decrease in effective tax rate from 2023 to 2024 was primarily due to changes in valuation allowances and audit closures, partially offset by a change in the jurisdictional mix of earnings and the non-recurrence of the non-taxable gain generated on the acquisition of LKZ in 2023.</w:t>
      </w:r>
    </w:p>
    <w:p>
      <w:pPr>
        <w:spacing w:after="0" w:line="81" w:lineRule="exact"/>
        <w:rPr>
          <w:sz w:val="20"/>
          <w:szCs w:val="20"/>
          <w:color w:val="auto"/>
        </w:rPr>
      </w:pPr>
    </w:p>
    <w:p>
      <w:pPr>
        <w:ind w:right="100" w:firstLine="486"/>
        <w:spacing w:after="0" w:line="250"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Among other provisions, this act includes permanently extending and modifying certain expiring provisions of the 2017 Tax Cuts and Jobs Act and immediate expensing of domestic research and development expenses. The impacts of these provisions do not have a material impact on the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69" w:name="page70"/>
    <w:bookmarkEnd w:id="69"/>
    <w:p>
      <w:pPr>
        <w:ind w:left="500"/>
        <w:spacing w:after="0"/>
        <w:rPr>
          <w:sz w:val="20"/>
          <w:szCs w:val="20"/>
          <w:color w:val="auto"/>
        </w:rPr>
      </w:pPr>
      <w:r>
        <w:rPr>
          <w:rFonts w:ascii="Times New Roman" w:cs="Times New Roman" w:eastAsia="Times New Roman" w:hAnsi="Times New Roman"/>
          <w:sz w:val="18"/>
          <w:szCs w:val="18"/>
          <w:color w:val="auto"/>
        </w:rPr>
        <w:t>Components of deferred tax assets and liabilities were as follows:</w:t>
      </w:r>
    </w:p>
    <w:p>
      <w:pPr>
        <w:spacing w:after="0" w:line="52"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19"/>
              <w:spacing w:after="0" w:line="161"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19"/>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Accrued expenses and reserves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Warranty reserve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3"/>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Deferred compensation/employee benefits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Right-of-use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3"/>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Pension and postretirement obligations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Inventory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3"/>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Tax credit carry forwards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operating loss carry forwards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7"/>
        </w:trPr>
        <w:tc>
          <w:tcPr>
            <w:tcW w:w="20" w:type="dxa"/>
            <w:vAlign w:val="bottom"/>
          </w:tcPr>
          <w:p>
            <w:pPr>
              <w:spacing w:after="0"/>
              <w:rPr>
                <w:sz w:val="17"/>
                <w:szCs w:val="17"/>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deferred income tax assets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07"/>
        </w:trPr>
        <w:tc>
          <w:tcPr>
            <w:tcW w:w="20" w:type="dxa"/>
            <w:vAlign w:val="bottom"/>
          </w:tcPr>
          <w:p>
            <w:pPr>
              <w:spacing w:after="0"/>
              <w:rPr>
                <w:sz w:val="17"/>
                <w:szCs w:val="17"/>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deferred income tax assets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Right-of-use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3"/>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Intangible assets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209"/>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deferred income tax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r>
      <w:tr>
        <w:trPr>
          <w:trHeight w:val="212"/>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deferred income tax liability</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380" w:firstLine="486"/>
        <w:spacing w:after="0" w:line="250" w:lineRule="auto"/>
        <w:rPr>
          <w:sz w:val="20"/>
          <w:szCs w:val="20"/>
          <w:color w:val="auto"/>
        </w:rPr>
      </w:pPr>
      <w:r>
        <w:rPr>
          <w:rFonts w:ascii="Times New Roman" w:cs="Times New Roman" w:eastAsia="Times New Roman" w:hAnsi="Times New Roman"/>
          <w:sz w:val="18"/>
          <w:szCs w:val="18"/>
          <w:color w:val="auto"/>
        </w:rPr>
        <w:t>A valuation allowance is recorded when it is more likely than not that some portion or all of the deferred tax assets will not be realized. As of December 31, 2025, the valuation allowance for certain deferred tax asset carryforwards was $57 million, primarily in the United States, South Africa, China and the Netherlands.</w:t>
      </w:r>
    </w:p>
    <w:p>
      <w:pPr>
        <w:spacing w:after="0" w:line="6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Company has net operating loss carry-forwards in the amount of $438 million, of which $216 million are indefinite lived, $109 million expire within ten years and $113 million expire in various periods between December 31, 2036 to December 31, 2045.</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Components of cash taxes paid, net of refunds,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For the year ended</w:t>
            </w:r>
          </w:p>
        </w:tc>
      </w:t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66"/>
        </w:trPr>
        <w:tc>
          <w:tcPr>
            <w:tcW w:w="20" w:type="dxa"/>
            <w:vAlign w:val="bottom"/>
          </w:tcPr>
          <w:p>
            <w:pPr>
              <w:spacing w:after="0"/>
              <w:rPr>
                <w:sz w:val="14"/>
                <w:szCs w:val="14"/>
                <w:color w:val="auto"/>
              </w:rPr>
            </w:pPr>
          </w:p>
        </w:tc>
        <w:tc>
          <w:tcPr>
            <w:tcW w:w="944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4"/>
                <w:szCs w:val="14"/>
                <w:color w:val="auto"/>
              </w:rPr>
            </w:pPr>
          </w:p>
        </w:tc>
        <w:tc>
          <w:tcPr>
            <w:tcW w:w="1620" w:type="dxa"/>
            <w:vAlign w:val="bottom"/>
          </w:tcPr>
          <w:p>
            <w:pPr>
              <w:jc w:val="center"/>
              <w:ind w:right="79"/>
              <w:spacing w:after="0" w:line="146"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 federal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3"/>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State taxes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taxes: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94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Australia</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Brazil</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20" w:type="dxa"/>
            <w:vAlign w:val="bottom"/>
          </w:tcPr>
          <w:p>
            <w:pPr>
              <w:spacing w:after="0"/>
              <w:rPr>
                <w:sz w:val="18"/>
                <w:szCs w:val="18"/>
                <w:color w:val="auto"/>
              </w:rPr>
            </w:pPr>
          </w:p>
        </w:tc>
        <w:tc>
          <w:tcPr>
            <w:tcW w:w="94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India</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Kazakhstan</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20" w:type="dxa"/>
            <w:vAlign w:val="bottom"/>
            <w:tcBorders>
              <w:bottom w:val="single" w:sz="8" w:color="CCEEFF"/>
            </w:tcBorders>
          </w:tcPr>
          <w:p>
            <w:pPr>
              <w:spacing w:after="0"/>
              <w:rPr>
                <w:sz w:val="18"/>
                <w:szCs w:val="18"/>
                <w:color w:val="auto"/>
              </w:rPr>
            </w:pPr>
          </w:p>
        </w:tc>
        <w:tc>
          <w:tcPr>
            <w:tcW w:w="94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Other foreign jurisdictions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paid, net of amounts refunded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Income taxes paid, net of amounts refunded for the years ended December 31, 2024 and 2023, were $237 million and $233 million, respectively.</w:t>
      </w:r>
    </w:p>
    <w:p>
      <w:pPr>
        <w:spacing w:after="0" w:line="171" w:lineRule="exact"/>
        <w:rPr>
          <w:sz w:val="20"/>
          <w:szCs w:val="20"/>
          <w:color w:val="auto"/>
        </w:rPr>
      </w:pPr>
    </w:p>
    <w:p>
      <w:pPr>
        <w:ind w:right="52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2025, the liability for income taxes associated with unrecognized tax benefits was $29 million, of which $18 million, if recognized, would favorably affect the Company’s effective income tax rate. As of December 31, 2024, the liability for income taxes associated with unrecognized tax benefits was $19 million, of which $18 million, if recognized,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0" w:name="page71"/>
    <w:bookmarkEnd w:id="70"/>
    <w:p>
      <w:pPr>
        <w:spacing w:after="0" w:line="282" w:lineRule="auto"/>
        <w:rPr>
          <w:sz w:val="20"/>
          <w:szCs w:val="20"/>
          <w:color w:val="auto"/>
        </w:rPr>
      </w:pPr>
      <w:r>
        <w:rPr>
          <w:rFonts w:ascii="Times New Roman" w:cs="Times New Roman" w:eastAsia="Times New Roman" w:hAnsi="Times New Roman"/>
          <w:sz w:val="18"/>
          <w:szCs w:val="18"/>
          <w:color w:val="auto"/>
        </w:rPr>
        <w:t>would favorably affect the Company’s effective income tax rate. A reconciliation of the beginning and ending amount of the gross liability for income taxes associated with unrecognized tax benefits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7"/>
                <w:szCs w:val="17"/>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Unrecognized tax benefits in prior periods</w:t>
            </w:r>
          </w:p>
        </w:tc>
        <w:tc>
          <w:tcPr>
            <w:tcW w:w="36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settlement during year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Expiration of audit statute of limitations</w:t>
            </w:r>
          </w:p>
        </w:tc>
        <w:tc>
          <w:tcPr>
            <w:tcW w:w="36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end of year</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Company includes interest and penalties related to unrecognized tax benefits in income tax expense. As of December 31, 2025 and 2024, the total interest and penalties accrued was approximately $19 million and $13 million, respectively.</w:t>
      </w:r>
    </w:p>
    <w:p>
      <w:pPr>
        <w:spacing w:after="0" w:line="108" w:lineRule="exact"/>
        <w:rPr>
          <w:sz w:val="20"/>
          <w:szCs w:val="20"/>
          <w:color w:val="auto"/>
        </w:rPr>
      </w:pPr>
    </w:p>
    <w:p>
      <w:pPr>
        <w:ind w:right="200" w:firstLine="486"/>
        <w:spacing w:after="0" w:line="312" w:lineRule="auto"/>
        <w:rPr>
          <w:sz w:val="20"/>
          <w:szCs w:val="20"/>
          <w:color w:val="auto"/>
        </w:rPr>
      </w:pPr>
      <w:r>
        <w:rPr>
          <w:rFonts w:ascii="Times New Roman" w:cs="Times New Roman" w:eastAsia="Times New Roman" w:hAnsi="Times New Roman"/>
          <w:sz w:val="17"/>
          <w:szCs w:val="17"/>
          <w:color w:val="auto"/>
        </w:rPr>
        <w:t>An audit of the Company’s U.S. federal income tax return for the year 2017 is ongoing and select state and non-U.S. income tax audits are also underway. With limited exception, the Company is no longer subject to examination by various U.S. and foreign taxing authorities for years before 2020.</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21"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Company’s non-vested restricted stock contains rights to receive non-forfeitable dividends, and thus are participating securities requiring the two-class method of computing earnings per share. The calculation of earnings per share for common stock excludes the income attributable to the non-vested restricted stock from the numerator, which results in approximately 0.3% of Net income attributable to Wabtec shareholders being allocated to non-vested restricted stock in all periods presented. Additionally, the dilutive impact of the assumed conversion of non-vested restricted stock is excluded from the denominator of the diluted weighted average shares outstanding. The computation of basic and diluted earnings per common share for Net income attributable to Wabtec shareholders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68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20" w:type="dxa"/>
            <w:vAlign w:val="bottom"/>
          </w:tcPr>
          <w:p>
            <w:pPr>
              <w:spacing w:after="0"/>
              <w:rPr>
                <w:sz w:val="13"/>
                <w:szCs w:val="13"/>
                <w:color w:val="auto"/>
              </w:rPr>
            </w:pPr>
          </w:p>
        </w:tc>
        <w:tc>
          <w:tcPr>
            <w:tcW w:w="1080" w:type="dxa"/>
            <w:vAlign w:val="bottom"/>
          </w:tcPr>
          <w:p>
            <w:pPr>
              <w:jc w:val="right"/>
              <w:ind w:right="45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45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198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attributable to Wabtec shareholders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r>
      <w:tr>
        <w:trPr>
          <w:trHeight w:val="21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Net income allocated to non-vested restricted stock</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7"/>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Numerator for basic and diluted earnings per common share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r>
      <w:tr>
        <w:trPr>
          <w:trHeight w:val="21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w:t>
            </w:r>
          </w:p>
        </w:tc>
      </w:tr>
      <w:tr>
        <w:trPr>
          <w:trHeight w:val="21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Assumed conversion of dilutive stock-based compensation plans excluding non-vested restricted stock</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6"/>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Assumed conversion of dilutive non-vested restricted stock</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2"/>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Earnings per common share attributable to Wabtec shareholders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r>
      <w:tr>
        <w:trPr>
          <w:trHeight w:val="21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 PLANS</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As of December 31, 2025,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15, 2030, and as of December 31, 2025, the number of shares available for future grants under the 2011 Plan was approximately 3.9 million shares. The Company also maintains a 1995 Non-Employee Directors’ Fee and Stock Option Plan as amended and restated (“the Directors Plan”). The Directors Plan, as amended, authorizes a total of 1.1 million shares of Common Stock to be issued. Under the Directors Plan, options issued become exercisable over a three-year vesting period and expire ten years from the date of grant, and restricted stock issued under the plan vests one year from the date of grant. The amount of restricted stock</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1" w:name="page72"/>
    <w:bookmarkEnd w:id="71"/>
    <w:p>
      <w:pPr>
        <w:ind w:right="200"/>
        <w:spacing w:after="0" w:line="282" w:lineRule="auto"/>
        <w:rPr>
          <w:sz w:val="20"/>
          <w:szCs w:val="20"/>
          <w:color w:val="auto"/>
        </w:rPr>
      </w:pPr>
      <w:r>
        <w:rPr>
          <w:rFonts w:ascii="Times New Roman" w:cs="Times New Roman" w:eastAsia="Times New Roman" w:hAnsi="Times New Roman"/>
          <w:sz w:val="18"/>
          <w:szCs w:val="18"/>
          <w:color w:val="auto"/>
        </w:rPr>
        <w:t>issued to non-employee directors as compensation for directors’ fees was as follows: 7,861 shares for 2025; 9,320 shares for 2024; and 14,856 shares for 2023. The total number of shares issued under the Directors Plan as of December 31, 2025 was approximately 1.0 million shares.</w:t>
      </w:r>
    </w:p>
    <w:p>
      <w:pPr>
        <w:spacing w:after="0" w:line="54"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all of the plans was $94 million, $85 million and $59 million for the years ended December 31, 2025, 2024 and 2023, respectively. Associated tax benefits related to the stock-based compensation plans were approximately $11 million for the year ended December 31, 2025 and not material for the years ended December 31, 2024 and 2023.</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Included in the stock-based compensation expense for 2025 above is $46 million of expense related to incentive stock units, $32 million of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non-vested restricted stock, $14 million related to restricted stock units, and $2 million related to units issued for Directors’ fees.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unamortized compensation expense related to those non-vested restricted shares and incentive stock units expected to vest totaled $85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will be recognized over a weighted period of 1.3 years.</w:t>
      </w:r>
    </w:p>
    <w:p>
      <w:pPr>
        <w:spacing w:after="0" w:line="95" w:lineRule="exact"/>
        <w:rPr>
          <w:sz w:val="20"/>
          <w:szCs w:val="20"/>
          <w:color w:val="auto"/>
        </w:rPr>
      </w:pPr>
    </w:p>
    <w:p>
      <w:pPr>
        <w:ind w:right="22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Options </w:t>
      </w:r>
      <w:r>
        <w:rPr>
          <w:rFonts w:ascii="Times New Roman" w:cs="Times New Roman" w:eastAsia="Times New Roman" w:hAnsi="Times New Roman"/>
          <w:sz w:val="18"/>
          <w:szCs w:val="18"/>
          <w:color w:val="auto"/>
        </w:rPr>
        <w:t>Stock options are granted to eligible employees and directors at fair market value, which is the average of the high and low Wabtec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price on the date of grant. Under the 2011 Plan and the 2000 Plan, options become exercisable over a three year vesting period and expire 10 years from the date of grant. There were no stock options granted in the years ended December 31, 2025, 2024 and 2023. At December 31, 2025, there were 87,079 shares issuable pursuant to exercisable stock options.</w:t>
      </w:r>
    </w:p>
    <w:p>
      <w:pPr>
        <w:spacing w:after="0" w:line="68" w:lineRule="exact"/>
        <w:rPr>
          <w:sz w:val="20"/>
          <w:szCs w:val="20"/>
          <w:color w:val="auto"/>
        </w:rPr>
      </w:pPr>
    </w:p>
    <w:p>
      <w:pPr>
        <w:ind w:right="6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Restricted Stock Units and Incentive Stock </w:t>
      </w:r>
      <w:r>
        <w:rPr>
          <w:rFonts w:ascii="Times New Roman" w:cs="Times New Roman" w:eastAsia="Times New Roman" w:hAnsi="Times New Roman"/>
          <w:sz w:val="18"/>
          <w:szCs w:val="18"/>
          <w:color w:val="auto"/>
        </w:rPr>
        <w:t>As provided for under the 2011 Plan and 2000 Plan, eligible employees are granted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restricted stock that generally vests over three years from the date of grant. Under the Directors Plan, restricted stock awards vest one year from the date of grant. The restricted stock units are liability-classified equity awards as they can be settled in cash.</w:t>
      </w:r>
    </w:p>
    <w:p>
      <w:pPr>
        <w:spacing w:after="0" w:line="67"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In addition, the Company has issued incentive stock units to eligible employees that vest upon attainment of certain cumulative three-year performance goals, including a Relative Total Stockholder Return ("RTSR") modifier. The RTSR can increase or decrease the payment by 10% to 20% depending on the plan year. Significant judgments and estimates are used in determining the estimated three-year performance, which is then used to estimate the total shares expected to vest over the three year vesting cycle and corresponding expense based on the grant date fair value of the award. When determining the estimated three-year performance, the Company utilizes a combination of historical actual results, budgeted results and forecasts. Upon the initial grant of a performance cycle, the Company estimates the three-year performance at 100%. Quarterly, the Company reviews and updates performance estimates based on actual performance results and current projections. Based on the Company’s performance for each three year period then ended, the incentive stock units can vest and be awarded ranging from 0% to 200% of the initial incentive stock units granted. The incentive stock units included in the table below represent the number of shares that are expected to vest based on the Company’s estimate for meeting those established performance targets. As of December 31, 2025, the Company estimates that it will achieve approximately 194%, 200% and 154% for the incentive stock awards expected to vest, inclusive of the RTSR modifier, based on the estimated performance for the three year periods ending December 31, 2025, 2026, and 2027, respectively, and has recorded incentive compensation expense accordingly. If estimates of the number of these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8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Compensation expense for the non-vested restricted stock and incentive stock units is based on the closing price of the Company’s common stock on the date of grant and recognized over the applicable vesting period. Expense for incentive stock units is updated as necessary based on the Company's performance.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72" w:name="page73"/>
    <w:bookmarkEnd w:id="72"/>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restricted stock and incentive stock units activity and related information for the years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15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Date Fair</w:t>
            </w:r>
          </w:p>
        </w:tc>
        <w:tc>
          <w:tcPr>
            <w:tcW w:w="0" w:type="dxa"/>
            <w:vAlign w:val="bottom"/>
          </w:tcPr>
          <w:p>
            <w:pPr>
              <w:spacing w:after="0"/>
              <w:rPr>
                <w:sz w:val="1"/>
                <w:szCs w:val="1"/>
                <w:color w:val="auto"/>
              </w:rPr>
            </w:pPr>
          </w:p>
        </w:tc>
      </w:tr>
      <w:tr>
        <w:trPr>
          <w:trHeight w:val="214"/>
        </w:trPr>
        <w:tc>
          <w:tcPr>
            <w:tcW w:w="664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and Units</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at December 31,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689,420</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744,844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84.73</w:t>
            </w:r>
          </w:p>
        </w:tc>
        <w:tc>
          <w:tcPr>
            <w:tcW w:w="0" w:type="dxa"/>
            <w:vAlign w:val="bottom"/>
          </w:tcPr>
          <w:p>
            <w:pPr>
              <w:spacing w:after="0"/>
              <w:rPr>
                <w:sz w:val="1"/>
                <w:szCs w:val="1"/>
                <w:color w:val="auto"/>
              </w:rPr>
            </w:pPr>
          </w:p>
        </w:tc>
      </w:tr>
      <w:tr>
        <w:trPr>
          <w:trHeight w:val="213"/>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368,209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104.70</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(262,339)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(265,678)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w:t>
            </w:r>
          </w:p>
        </w:tc>
        <w:tc>
          <w:tcPr>
            <w:tcW w:w="0" w:type="dxa"/>
            <w:vAlign w:val="bottom"/>
          </w:tcPr>
          <w:p>
            <w:pPr>
              <w:spacing w:after="0"/>
              <w:rPr>
                <w:sz w:val="1"/>
                <w:szCs w:val="1"/>
                <w:color w:val="auto"/>
              </w:rPr>
            </w:pPr>
          </w:p>
        </w:tc>
      </w:tr>
      <w:tr>
        <w:trPr>
          <w:trHeight w:val="213"/>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 for incentive stock awards expected to vest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88.02</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93.44</w:t>
            </w:r>
          </w:p>
        </w:tc>
        <w:tc>
          <w:tcPr>
            <w:tcW w:w="0" w:type="dxa"/>
            <w:vAlign w:val="bottom"/>
          </w:tcPr>
          <w:p>
            <w:pPr>
              <w:spacing w:after="0"/>
              <w:rPr>
                <w:sz w:val="1"/>
                <w:szCs w:val="1"/>
                <w:color w:val="auto"/>
              </w:rPr>
            </w:pPr>
          </w:p>
        </w:tc>
      </w:t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at December 31, 2023</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760,569</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692,732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93.65</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310,461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193,661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142.55</w:t>
            </w:r>
          </w:p>
        </w:tc>
        <w:tc>
          <w:tcPr>
            <w:tcW w:w="0" w:type="dxa"/>
            <w:vAlign w:val="bottom"/>
          </w:tcPr>
          <w:p>
            <w:pPr>
              <w:spacing w:after="0"/>
              <w:rPr>
                <w:sz w:val="1"/>
                <w:szCs w:val="1"/>
                <w:color w:val="auto"/>
              </w:rPr>
            </w:pPr>
          </w:p>
        </w:tc>
      </w:tr>
      <w:tr>
        <w:trPr>
          <w:trHeight w:val="213"/>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(296,463)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(298,756)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87.23</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 for incentive stock awards expected to vest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313,519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118.53</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(46,531)</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(24,092)</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105.98</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at December 31, 2024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728,036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877,064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115.71</w:t>
            </w:r>
          </w:p>
        </w:tc>
        <w:tc>
          <w:tcPr>
            <w:tcW w:w="0" w:type="dxa"/>
            <w:vAlign w:val="bottom"/>
          </w:tcPr>
          <w:p>
            <w:pPr>
              <w:spacing w:after="0"/>
              <w:rPr>
                <w:sz w:val="1"/>
                <w:szCs w:val="1"/>
                <w:color w:val="auto"/>
              </w:rPr>
            </w:pPr>
          </w:p>
        </w:tc>
      </w:tr>
      <w:tr>
        <w:trPr>
          <w:trHeight w:val="213"/>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290,724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163,207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187.97</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(394,667)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(298,747)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100.41</w:t>
            </w:r>
          </w:p>
        </w:tc>
        <w:tc>
          <w:tcPr>
            <w:tcW w:w="0" w:type="dxa"/>
            <w:vAlign w:val="bottom"/>
          </w:tcPr>
          <w:p>
            <w:pPr>
              <w:spacing w:after="0"/>
              <w:rPr>
                <w:sz w:val="1"/>
                <w:szCs w:val="1"/>
                <w:color w:val="auto"/>
              </w:rPr>
            </w:pPr>
          </w:p>
        </w:tc>
      </w:tr>
      <w:tr>
        <w:trPr>
          <w:trHeight w:val="213"/>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 for incentive stock awards expected to vest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138,432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(31,517)</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146.57</w:t>
            </w:r>
          </w:p>
        </w:tc>
        <w:tc>
          <w:tcPr>
            <w:tcW w:w="0" w:type="dxa"/>
            <w:vAlign w:val="bottom"/>
          </w:tcPr>
          <w:p>
            <w:pPr>
              <w:spacing w:after="0"/>
              <w:rPr>
                <w:sz w:val="1"/>
                <w:szCs w:val="1"/>
                <w:color w:val="auto"/>
              </w:rPr>
            </w:pPr>
          </w:p>
        </w:tc>
      </w:tr>
      <w:tr>
        <w:trPr>
          <w:trHeight w:val="212"/>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at December 31, 2025</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592,576</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872,053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w:t>
      </w:r>
    </w:p>
    <w:p>
      <w:pPr>
        <w:spacing w:after="0" w:line="121"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Comprehensive income (loss) comprises both Net income and the Other Comprehensive income (loss) resulting from the change in equity from transactions and other events and circumstances from non-owner sources.</w:t>
      </w:r>
    </w:p>
    <w:p>
      <w:pPr>
        <w:spacing w:after="0" w:line="108" w:lineRule="exact"/>
        <w:rPr>
          <w:sz w:val="20"/>
          <w:szCs w:val="20"/>
          <w:color w:val="auto"/>
        </w:rPr>
      </w:pPr>
    </w:p>
    <w:p>
      <w:pPr>
        <w:ind w:right="40" w:firstLine="486"/>
        <w:spacing w:after="0" w:line="275" w:lineRule="auto"/>
        <w:rPr>
          <w:sz w:val="20"/>
          <w:szCs w:val="20"/>
          <w:color w:val="auto"/>
        </w:rPr>
      </w:pPr>
      <w:r>
        <w:rPr>
          <w:rFonts w:ascii="Times New Roman" w:cs="Times New Roman" w:eastAsia="Times New Roman" w:hAnsi="Times New Roman"/>
          <w:sz w:val="18"/>
          <w:szCs w:val="18"/>
          <w:color w:val="auto"/>
        </w:rPr>
        <w:t>The changes in Accumulated other comprehensive loss by component, including any tax impacts, for the years ended December 31, 2025, 2024, and 2023 are as follows: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8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340" w:type="dxa"/>
            <w:vAlign w:val="bottom"/>
            <w:gridSpan w:val="3"/>
          </w:tcPr>
          <w:p>
            <w:pPr>
              <w:ind w:left="40"/>
              <w:spacing w:after="0" w:line="165" w:lineRule="exact"/>
              <w:rPr>
                <w:sz w:val="20"/>
                <w:szCs w:val="20"/>
                <w:color w:val="auto"/>
              </w:rPr>
            </w:pPr>
            <w:r>
              <w:rPr>
                <w:rFonts w:ascii="Times New Roman" w:cs="Times New Roman" w:eastAsia="Times New Roman" w:hAnsi="Times New Roman"/>
                <w:sz w:val="16"/>
                <w:szCs w:val="16"/>
                <w:b w:val="1"/>
                <w:bCs w:val="1"/>
                <w:color w:val="auto"/>
              </w:rPr>
              <w:t>Pension and post</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6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retirement</w:t>
            </w:r>
          </w:p>
        </w:tc>
        <w:tc>
          <w:tcPr>
            <w:tcW w:w="280" w:type="dxa"/>
            <w:vAlign w:val="bottom"/>
          </w:tcPr>
          <w:p>
            <w:pPr>
              <w:spacing w:after="0"/>
              <w:rPr>
                <w:sz w:val="7"/>
                <w:szCs w:val="7"/>
                <w:color w:val="auto"/>
              </w:rPr>
            </w:pPr>
          </w:p>
        </w:tc>
        <w:tc>
          <w:tcPr>
            <w:tcW w:w="960" w:type="dxa"/>
            <w:vAlign w:val="bottom"/>
            <w:vMerge w:val="restart"/>
          </w:tcPr>
          <w:p>
            <w:pPr>
              <w:jc w:val="right"/>
              <w:ind w:right="359"/>
              <w:spacing w:after="0" w:line="16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180" w:type="dxa"/>
            <w:vAlign w:val="bottom"/>
          </w:tcPr>
          <w:p>
            <w:pPr>
              <w:spacing w:after="0"/>
              <w:rPr>
                <w:sz w:val="7"/>
                <w:szCs w:val="7"/>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920" w:type="dxa"/>
            <w:vAlign w:val="bottom"/>
            <w:gridSpan w:val="2"/>
            <w:vMerge w:val="restart"/>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benefit plans</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59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59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59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comprehensive (loss) income, net</w:t>
            </w: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59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comprehensive income (loss), net</w:t>
            </w: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Amounts included under Derivative contracts related to interest rate hedges reclassified from Accumulated other comprehensive loss are recognized in "Interest expense, net" with the tax impact recognized in "Income tax expense" on the Consolidated Statements of Income. All other amounts reclassified from Accumulated other comprehensive loss are recognized in "Other income, net" with the tax impact recognized in "Income tax expense"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21" w:lineRule="exact"/>
        <w:rPr>
          <w:sz w:val="20"/>
          <w:szCs w:val="20"/>
          <w:color w:val="auto"/>
        </w:rPr>
      </w:pPr>
    </w:p>
    <w:p>
      <w:pPr>
        <w:jc w:val="both"/>
        <w:ind w:right="60" w:firstLine="486"/>
        <w:spacing w:after="0" w:line="262" w:lineRule="auto"/>
        <w:rPr>
          <w:sz w:val="20"/>
          <w:szCs w:val="20"/>
          <w:color w:val="auto"/>
        </w:rPr>
      </w:pPr>
      <w:r>
        <w:rPr>
          <w:rFonts w:ascii="Times New Roman" w:cs="Times New Roman" w:eastAsia="Times New Roman" w:hAnsi="Times New Roman"/>
          <w:sz w:val="17"/>
          <w:szCs w:val="17"/>
          <w:color w:val="auto"/>
        </w:rPr>
        <w:t>The Company leases certain property, buildings and equipment.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Company does not separate lease and non-lease components.</w:t>
      </w:r>
    </w:p>
    <w:p>
      <w:pPr>
        <w:spacing w:after="0" w:line="1"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Operating lease expense for the years ended December 31, 2025, 2024, and 2023 was $72 million, $71 million, and $64 million, respectively. During 2025 and 2024, new operating leases of $149 million and $76 million, respectively, were added during the year. As most of the Company's leases do not provide a readily stated discount rate, the Company must estimate the rate to discount lease payments using its incremental borrowing rate. Wabtec does not have material financing leases, short-term or variable leases or sublease income.</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Scheduled payments of operating lease liabilities are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7"/>
                <w:szCs w:val="17"/>
                <w:color w:val="auto"/>
              </w:rPr>
            </w:pP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8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8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3"/>
        </w:trPr>
        <w:tc>
          <w:tcPr>
            <w:tcW w:w="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8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9"/>
        </w:trPr>
        <w:tc>
          <w:tcPr>
            <w:tcW w:w="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8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3"/>
        </w:trPr>
        <w:tc>
          <w:tcPr>
            <w:tcW w:w="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8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9"/>
        </w:trPr>
        <w:tc>
          <w:tcPr>
            <w:tcW w:w="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8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3"/>
        </w:trPr>
        <w:tc>
          <w:tcPr>
            <w:tcW w:w="20" w:type="dxa"/>
            <w:vAlign w:val="bottom"/>
            <w:tcBorders>
              <w:bottom w:val="single" w:sz="8" w:color="CCEEFF"/>
            </w:tcBorders>
          </w:tcPr>
          <w:p>
            <w:pPr>
              <w:spacing w:after="0"/>
              <w:rPr>
                <w:sz w:val="18"/>
                <w:szCs w:val="18"/>
                <w:color w:val="auto"/>
              </w:rPr>
            </w:pPr>
          </w:p>
        </w:tc>
        <w:tc>
          <w:tcPr>
            <w:tcW w:w="9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2"/>
        </w:trPr>
        <w:tc>
          <w:tcPr>
            <w:tcW w:w="20" w:type="dxa"/>
            <w:vAlign w:val="bottom"/>
            <w:shd w:val="clear" w:color="auto" w:fill="CCEEFF"/>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13"/>
        </w:trPr>
        <w:tc>
          <w:tcPr>
            <w:tcW w:w="20" w:type="dxa"/>
            <w:vAlign w:val="bottom"/>
            <w:tcBorders>
              <w:bottom w:val="single" w:sz="8" w:color="CCEEFF"/>
            </w:tcBorders>
          </w:tcPr>
          <w:p>
            <w:pPr>
              <w:spacing w:after="0"/>
              <w:rPr>
                <w:sz w:val="18"/>
                <w:szCs w:val="18"/>
                <w:color w:val="auto"/>
              </w:rPr>
            </w:pPr>
          </w:p>
        </w:tc>
        <w:tc>
          <w:tcPr>
            <w:tcW w:w="9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Less: Present value discount</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Present value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40" w:firstLine="486"/>
        <w:spacing w:after="0" w:line="267" w:lineRule="auto"/>
        <w:rPr>
          <w:sz w:val="20"/>
          <w:szCs w:val="20"/>
          <w:color w:val="auto"/>
        </w:rPr>
      </w:pPr>
      <w:r>
        <w:rPr>
          <w:rFonts w:ascii="Times New Roman" w:cs="Times New Roman" w:eastAsia="Times New Roman" w:hAnsi="Times New Roman"/>
          <w:sz w:val="18"/>
          <w:szCs w:val="18"/>
          <w:color w:val="auto"/>
        </w:rPr>
        <w:t>The following table summarizes the remaining lease term and discount rate assumptions used to develop the present value of operating lease liabilities: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Borders>
              <w:bottom w:val="single" w:sz="8" w:color="CCEEFF"/>
            </w:tcBorders>
          </w:tcPr>
          <w:p>
            <w:pPr>
              <w:spacing w:after="0"/>
              <w:rPr>
                <w:sz w:val="18"/>
                <w:szCs w:val="18"/>
                <w:color w:val="auto"/>
              </w:rPr>
            </w:pPr>
          </w:p>
        </w:tc>
        <w:tc>
          <w:tcPr>
            <w:tcW w:w="24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14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2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shd w:val="clear" w:color="auto" w:fill="CCEEFF"/>
          </w:tcPr>
          <w:p>
            <w:pPr>
              <w:spacing w:after="0"/>
              <w:rPr>
                <w:sz w:val="18"/>
                <w:szCs w:val="18"/>
                <w:color w:val="auto"/>
              </w:rPr>
            </w:pP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0"/>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8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WARRANTIES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the changes in the Company’s product warranty reserve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7"/>
                <w:szCs w:val="17"/>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13"/>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Warranty expense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Warranty claim payments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3"/>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impact/other</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2"/>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end of year</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FAIR VALUE MEASUREMENT AND DERIVATIVE INSTRUMENTS</w:t>
      </w:r>
    </w:p>
    <w:p>
      <w:pPr>
        <w:spacing w:after="0" w:line="121"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68" w:lineRule="exact"/>
        <w:rPr>
          <w:sz w:val="20"/>
          <w:szCs w:val="20"/>
          <w:color w:val="auto"/>
        </w:rPr>
      </w:pPr>
    </w:p>
    <w:p>
      <w:pPr>
        <w:ind w:right="100" w:firstLine="48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Valuation Hierarchy. </w:t>
      </w:r>
      <w:r>
        <w:rPr>
          <w:rFonts w:ascii="Times New Roman" w:cs="Times New Roman" w:eastAsia="Times New Roman" w:hAnsi="Times New Roman"/>
          <w:sz w:val="18"/>
          <w:szCs w:val="18"/>
          <w:color w:val="auto"/>
        </w:rPr>
        <w:t>ASC 820 establishes a valuation hierarchy for disclosure of the inputs to valuation used to measure fair value. This hierarchy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4" w:name="page75"/>
    <w:bookmarkEnd w:id="74"/>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Company’s cash, cash equivalents and restricted cash are highly liquid investments purchased with an original maturity of three months or less and are considered Level 1 on the fair value valuation hierarchy. The fair value of cash, cash equivalents and restricted cash approximated the carrying value at December 31, 2025 and 2024. The Senior Notes are considered Level 2 based on the fair value valuation hierarchy.</w:t>
      </w:r>
    </w:p>
    <w:p>
      <w:pPr>
        <w:spacing w:after="0" w:line="64" w:lineRule="exact"/>
        <w:rPr>
          <w:sz w:val="20"/>
          <w:szCs w:val="20"/>
          <w:color w:val="auto"/>
        </w:rPr>
      </w:pPr>
    </w:p>
    <w:p>
      <w:pPr>
        <w:ind w:right="10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Hedging Activities </w:t>
      </w:r>
      <w:r>
        <w:rPr>
          <w:rFonts w:ascii="Times New Roman" w:cs="Times New Roman" w:eastAsia="Times New Roman" w:hAnsi="Times New Roman"/>
          <w:sz w:val="18"/>
          <w:szCs w:val="18"/>
          <w:color w:val="auto"/>
        </w:rPr>
        <w:t>In the normal course of business, the Company is exposed to market risks related to interest rates, commodity prices and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exchange rate fluctuations, which may adversely affect our operating results and financial position. At times, we limit these risks through the use of derivatives such as cross-currency swaps, foreign currency forward contracts, interest rate swaps, commodity swaps and options. These hedging contracts are valued using broker quotations, or market transactions in either the listed or over-the counter markets. As such, these derivative instruments are classified within Level 2. In accordance with our policy, derivatives are only used for hedging purposes. We do not use derivatives for trading or speculative purposes.</w:t>
      </w:r>
    </w:p>
    <w:p>
      <w:pPr>
        <w:spacing w:after="0" w:line="78"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Company uses forward contracts to hedge forecasted foreign currency denominated sales of finished goods and future settlement of foreign currency denominated assets and liabilities. The Company may use interest rate hedge contracts on certain investing and borrowing transactions to manage its net exposure to interest rate changes and to manage its overall cost of borrowing. The Company may also use commodity forward swaps to manage its exposure to commodity price changes and to reduce its overall cost of manufacturing.</w:t>
      </w:r>
    </w:p>
    <w:p>
      <w:pPr>
        <w:spacing w:after="0" w:line="72" w:lineRule="exact"/>
        <w:rPr>
          <w:sz w:val="20"/>
          <w:szCs w:val="20"/>
          <w:color w:val="auto"/>
        </w:rPr>
      </w:pPr>
    </w:p>
    <w:p>
      <w:pPr>
        <w:ind w:firstLine="486"/>
        <w:spacing w:after="0" w:line="272" w:lineRule="auto"/>
        <w:rPr>
          <w:sz w:val="20"/>
          <w:szCs w:val="20"/>
          <w:color w:val="auto"/>
        </w:rPr>
      </w:pPr>
      <w:r>
        <w:rPr>
          <w:rFonts w:ascii="Times New Roman" w:cs="Times New Roman" w:eastAsia="Times New Roman" w:hAnsi="Times New Roman"/>
          <w:sz w:val="17"/>
          <w:szCs w:val="17"/>
          <w:color w:val="auto"/>
        </w:rPr>
        <w:t>The Company has established balance sheet risk management and net investment hedging programs to protect its balance sheet against foreign currency exchange rate volatility. We conduct our business worldwide in U.S. dollars and the functional currencies of our foreign subsidiaries, including euro, Indian rupee, British pound sterling, Australian dollars, Canadian dollars, Brazilian real, Kazakhstani tenge, and several other foreign currencies. Changes in these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We hedge these exposures using foreign currency swap contracts and cross-currency swaps to offset the potential income statement effects on intercompany loans denominated in non-functional currencies. These programs reduce but do not eliminate foreign currency exchange rate risk entirely. Net gains and losses related to the Company's hedging activities, except as described below, were not material for the years ended December 31, 2025, 2024 and 2023.</w:t>
      </w:r>
    </w:p>
    <w:p>
      <w:pPr>
        <w:spacing w:after="0" w:line="64"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acquisitions of Frauscher and Dellner Couplers, the Company entered into foreign exchange contracts for a notional value of €1,290 million to mitigate foreign currency exposure of the purchase prices. As part of the acquisition of Frauscher, the Company utilized foreign exchange forward contracts with a notional value of €690 million. The contracts are not designated as accounting hedges under Topic 815 of ASC, and as such, the gains and losses are recorded as a component of Other income, net. For the year ended December 31, 2025 these contracts resulted in a net gain of $19 million.</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December 31, 2025, the Company had a total gross notional amount of designated and non-designated derivatives of $467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$1.355 billion, respectively. At December 31, 2024, the Company had a total gross notional amount of designated and non-designated derivatives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$609 million and $197 million, respectively. The related assets and liabilities at both December 31, 2025 and 2024 were not significant.</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2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7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Claims have been filed against the Company and certain of its affiliates in various jurisdictions across the United States by persons alleging bodily injury as a result of exposure to asbestos-containing products. The vast majority of the claims are submitted to insurance carriers for defense and indemnity, or to non-affiliated companies that retain the liabilities for the asbestos-containing products at issue. We cannot, however, assure that all of these claims will be fully covered by insurance, or that the indemnitors or insurers will remain financially viable. Our ultimate legal and financial liability with respect to these claims, as is the case with other pending litigation, cannot be estimated. A limited number of claims are not covered by insurance, nor are they subject to indemnity from non-affiliated parties. Management believes that the costs of the Company’s asbestos-related cases will not be material to the Company’s overall financial position, results of operations and cash flows.</w:t>
      </w:r>
    </w:p>
    <w:p>
      <w:pPr>
        <w:spacing w:after="0" w:line="81"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a competitor of the Company, Progress Rail (“Progress”), which is a Caterpillar Inc. company, sued the Company in the U.S. District Court for the District of Delaware asserting antitrust, breach of contract, unfair competition law, defamation and false advertising claims. The complaint challenges the Wabtec-GE Transportation merger and contends that since the merger, Wabtec has unlawfully monopolized the markets for long-haul freight locomotives, Tier IV</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5" w:name="page76"/>
    <w:bookmarkEnd w:id="75"/>
    <w:p>
      <w:pPr>
        <w:ind w:right="20"/>
        <w:spacing w:after="0" w:line="254" w:lineRule="auto"/>
        <w:rPr>
          <w:sz w:val="20"/>
          <w:szCs w:val="20"/>
          <w:color w:val="auto"/>
        </w:rPr>
      </w:pPr>
      <w:r>
        <w:rPr>
          <w:rFonts w:ascii="Times New Roman" w:cs="Times New Roman" w:eastAsia="Times New Roman" w:hAnsi="Times New Roman"/>
          <w:sz w:val="18"/>
          <w:szCs w:val="18"/>
          <w:color w:val="auto"/>
        </w:rPr>
        <w:t>long-haul freight locomotives and energy management systems by, among other things, failing to ensure that Progress’ products are interoperable with Wabtec’s locomotives and cab electronics. Progress seeks an order requiring Wabtec to divest GE Transportation, unspecified treble damages for its alleged lost profits from reduced sales of locomotive and cab systems and attorneys’ fees and costs. It also asks the court to enjoin Wabtec from engaging in the conduct and require the Company to comply with its agreements with Progress. On June 12, 2025, in response to a motion filed by Wabtec, the Court dismissed the antitrust claims against Wabtec saying that no harmful effects on competition resulting from the merger had been shown. Progress Rail subsequently filed an amended Complaint seeking to revive its antitrust claims. Wabtec filed another motion to dismiss the antitrust claims, which is still pending before the Court. The Court did not dismiss the alleged breach of contract, unfair competition, defamation and false advertising claims. Wabtec is vigorously defending those remaining claims and a trial on those claims is currently scheduled to begin on February 23, 2026.</w:t>
      </w:r>
    </w:p>
    <w:p>
      <w:pPr>
        <w:spacing w:after="0" w:line="84"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As previously disclosed, Xorail, Inc., a wholly owned subsidiary of the Company (“Xorail”), received notices from Denver Transit Constructors (“DTC”) alleging breach of contract related to the operation of a wireless crossing system provided by Xorail for use by the Denver Regional Transit District ("RTD"). DTC's alleged damages stemmed from a delay in approval of the wireless crossing system by regulatory authorities, which resulted in the interim use of flaggers at the crossings. Xorail denied DTC's assertions, stating that the system satisfied the contractual requirements. In December 2025, DTC and Xorail agreed to settle all of DTC's claims. The settlement was not material to the Company's operating results or cash flows.</w:t>
      </w:r>
    </w:p>
    <w:p>
      <w:pPr>
        <w:spacing w:after="0" w:line="75"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w:t>
      </w:r>
    </w:p>
    <w:p>
      <w:pPr>
        <w:spacing w:after="0" w:line="121" w:lineRule="exact"/>
        <w:rPr>
          <w:sz w:val="20"/>
          <w:szCs w:val="20"/>
          <w:color w:val="auto"/>
        </w:rPr>
      </w:pPr>
    </w:p>
    <w:p>
      <w:pPr>
        <w:ind w:right="620" w:firstLine="486"/>
        <w:spacing w:after="0" w:line="312" w:lineRule="auto"/>
        <w:rPr>
          <w:sz w:val="20"/>
          <w:szCs w:val="20"/>
          <w:color w:val="auto"/>
        </w:rPr>
      </w:pPr>
      <w:r>
        <w:rPr>
          <w:rFonts w:ascii="Times New Roman" w:cs="Times New Roman" w:eastAsia="Times New Roman" w:hAnsi="Times New Roman"/>
          <w:sz w:val="17"/>
          <w:szCs w:val="17"/>
          <w:color w:val="auto"/>
        </w:rPr>
        <w:t>The Company has two reportable segments—the Freight Segment and the Transit Segment. The key factors used to identify these reportable segments are the organization and alignment of the Company’s internal operations, the nature of the products and services and customer type.</w:t>
      </w:r>
    </w:p>
    <w:p>
      <w:pPr>
        <w:spacing w:after="0" w:line="32"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Freight Segment builds, rebuilds, upgrades, and overhauls locomotives, services locomotives and freight cars, and provides a range of component and digital solutions for customers in the freight and transit rail, mining, and marine industries. It also manufactures and services components for new and existing freight cars and locomotives, supplies railway electronics, positive train control equipment, signal design and engineering services, maintenance of way, and provides heat exchange and cooling systems for locomotives and power generation equipment. Customers include large, publicly traded railroads, leasing companies, manufacturers of original equipment such as locomotives and freight cars, and utilities, and also serves companies in the mining, marine, and industrial markets and applications. We refer to sales of both goods, such as spare parts and equipment upgrades, and related services, such as monitoring, maintenance and repairs, as sales in our Services product line.</w:t>
      </w:r>
    </w:p>
    <w:p>
      <w:pPr>
        <w:spacing w:after="0" w:line="8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Transit Segment primarily manufactures and services components for new and existing passenger transit vehicles, typically regional trains, high speed trains, subway cars, light-rail vehicles and buses. It also refurbishes subway cars and provides heating, ventilation, and air conditioning equipment and doors for buses and subway cars. Customers include public transit authorities and municipalities, leasing companies, manufacturers of passenger transit vehicles and buses, and companies in the electrical generation, distribution, and charging industries.</w:t>
      </w:r>
    </w:p>
    <w:p>
      <w:pPr>
        <w:spacing w:after="0" w:line="72" w:lineRule="exact"/>
        <w:rPr>
          <w:sz w:val="20"/>
          <w:szCs w:val="20"/>
          <w:color w:val="auto"/>
        </w:rPr>
      </w:pPr>
    </w:p>
    <w:p>
      <w:pPr>
        <w:ind w:right="160" w:firstLine="486"/>
        <w:spacing w:after="0" w:line="255" w:lineRule="auto"/>
        <w:rPr>
          <w:sz w:val="20"/>
          <w:szCs w:val="20"/>
          <w:color w:val="auto"/>
        </w:rPr>
      </w:pPr>
      <w:r>
        <w:rPr>
          <w:rFonts w:ascii="Times New Roman" w:cs="Times New Roman" w:eastAsia="Times New Roman" w:hAnsi="Times New Roman"/>
          <w:sz w:val="18"/>
          <w:szCs w:val="18"/>
          <w:color w:val="auto"/>
        </w:rPr>
        <w:t>Wabtec’s chief operating decision maker ("CODM") is the Company’s Chief Executive Officer, Rafael Santana. Mr. Santana utilizes Income (loss) from operations as the primary reported measure of segment profit or loss in assessing segment performance and deciding how to allocate resources. For both of the Company’s segments, the CODM uses segment Income (loss) from operations to make operational and personnel related decisions across the business. The CODM considers actual, budgeted and forecasted Income (loss) from operations on a monthly basis for evaluating the performance of each segment and making decisions about allocating capital and other resources to each segment. Additionally, Gross margin is used by the CODM as a secondary measure of segment profit or loss in assessing segment performance and deciding how to allocate resources. For both of the Company’s segments, the CODM uses segment Gross margin to make commercial and operational related decisions across the business.</w:t>
      </w:r>
    </w:p>
    <w:p>
      <w:pPr>
        <w:spacing w:after="0" w:line="8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Intersegment sales are accounted for at prices that are generally established by reference to similar transactions with unaffiliated customers. Corporate activities include general corporate expenses, elimination of certain intersegment transactions, interest income and expense and other unallocated charges. Segment assets for the Freight and Transit Segments include assets directly utilized for segment operations, as well as the related goodwill and intangible assets. Corporate segment assets include cash, cash equivalents, and restricted cash, equity method investment assets, certain tax assets, receivables held by our bankruptcy-remote facility, pension assets, corporate headquarters' assets and other asset balances that are managed outside of operating segments.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76" w:name="page77"/>
    <w:bookmarkEnd w:id="76"/>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Cost of sales for both segments represents costs directly related to manufacturing products and providing services. Primary costs include raw materials, direct labor, overhead, shipping and handling, warehousing, and the depreciation of manufacturing, warehousing and distribution facilities. Selling, general and administrative expenses for both segments represent costs incurred in managing the business, including salary, benefits, professional fees and operating costs associated with each segment’s non-manufacturing activities. The amounts of depreciation and amortization disclosed by reportable segment are included within their respective segment expense captions, such as Cost of sales, Selling, general &amp; administrative expenses and Amortization expense.</w:t>
      </w:r>
    </w:p>
    <w:p>
      <w:pPr>
        <w:spacing w:after="0" w:line="79" w:lineRule="exact"/>
        <w:rPr>
          <w:sz w:val="20"/>
          <w:szCs w:val="20"/>
          <w:color w:val="auto"/>
        </w:rPr>
      </w:pPr>
    </w:p>
    <w:p>
      <w:pPr>
        <w:ind w:right="100" w:firstLine="486"/>
        <w:spacing w:after="0" w:line="250" w:lineRule="auto"/>
        <w:rPr>
          <w:sz w:val="20"/>
          <w:szCs w:val="20"/>
          <w:color w:val="auto"/>
        </w:rPr>
      </w:pPr>
      <w:r>
        <w:rPr>
          <w:rFonts w:ascii="Times New Roman" w:cs="Times New Roman" w:eastAsia="Times New Roman" w:hAnsi="Times New Roman"/>
          <w:sz w:val="18"/>
          <w:szCs w:val="18"/>
          <w:color w:val="auto"/>
        </w:rPr>
        <w:t>During the first quarter of 2025, Company Management determined that certain businesses within the Services product line would be better aligned with Management oversight in the Components product line. As such, Sales by product line for 2024 and 2023 have been recast to conform to the current period presentation. These changes were within the Freight Segment and had no impact on Total Freight Segment Sales, Gross profit, or Income from operations.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Segment financial information for 2025 is as follows: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8"/>
              </w:rPr>
              <w:t>Freight Segment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8"/>
              </w:rPr>
              <w:t>Transit Segment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Activities and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6"/>
                <w:szCs w:val="16"/>
                <w:b w:val="1"/>
                <w:bCs w:val="1"/>
                <w:color w:val="auto"/>
              </w:rPr>
              <w:t>Elimination</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to external customers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8,036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3,131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11,167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7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(5,201)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(2,160)</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(7,361)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7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2,835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971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gridSpan w:val="3"/>
          </w:tcPr>
          <w:p>
            <w:pPr>
              <w:ind w:left="2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35.3 %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31.0 %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&amp; administrative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(823)</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(471)</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center"/>
              <w:ind w:left="639"/>
              <w:spacing w:after="0"/>
              <w:rPr>
                <w:sz w:val="20"/>
                <w:szCs w:val="20"/>
                <w:color w:val="auto"/>
              </w:rPr>
            </w:pPr>
            <w:r>
              <w:rPr>
                <w:rFonts w:ascii="Times New Roman" w:cs="Times New Roman" w:eastAsia="Times New Roman" w:hAnsi="Times New Roman"/>
                <w:sz w:val="16"/>
                <w:szCs w:val="16"/>
                <w:color w:val="auto"/>
                <w:w w:val="97"/>
              </w:rPr>
              <w:t>(196)</w:t>
            </w:r>
          </w:p>
        </w:tc>
        <w:tc>
          <w:tcPr>
            <w:tcW w:w="34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Engineering expenses</w:t>
            </w:r>
          </w:p>
        </w:tc>
        <w:tc>
          <w:tcPr>
            <w:tcW w:w="1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expense</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tcPr>
          <w:p>
            <w:pPr>
              <w:spacing w:after="0"/>
              <w:rPr>
                <w:sz w:val="17"/>
                <w:szCs w:val="17"/>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1,567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left="639"/>
              <w:spacing w:after="0"/>
              <w:rPr>
                <w:sz w:val="20"/>
                <w:szCs w:val="20"/>
                <w:color w:val="auto"/>
              </w:rPr>
            </w:pPr>
            <w:r>
              <w:rPr>
                <w:rFonts w:ascii="Times New Roman" w:cs="Times New Roman" w:eastAsia="Times New Roman" w:hAnsi="Times New Roman"/>
                <w:sz w:val="16"/>
                <w:szCs w:val="16"/>
                <w:color w:val="auto"/>
                <w:w w:val="97"/>
              </w:rPr>
              <w:t>(196)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and other, net</w:t>
            </w: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center"/>
              <w:ind w:left="639"/>
              <w:spacing w:after="0"/>
              <w:rPr>
                <w:sz w:val="20"/>
                <w:szCs w:val="20"/>
                <w:color w:val="auto"/>
              </w:rPr>
            </w:pPr>
            <w:r>
              <w:rPr>
                <w:rFonts w:ascii="Times New Roman" w:cs="Times New Roman" w:eastAsia="Times New Roman" w:hAnsi="Times New Roman"/>
                <w:sz w:val="16"/>
                <w:szCs w:val="16"/>
                <w:color w:val="auto"/>
                <w:w w:val="97"/>
              </w:rPr>
              <w:t>(201)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1,567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422</w:t>
            </w: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gridSpan w:val="2"/>
          </w:tcPr>
          <w:p>
            <w:pPr>
              <w:jc w:val="center"/>
              <w:ind w:left="639"/>
              <w:spacing w:after="0"/>
              <w:rPr>
                <w:sz w:val="20"/>
                <w:szCs w:val="20"/>
                <w:color w:val="auto"/>
              </w:rPr>
            </w:pPr>
            <w:r>
              <w:rPr>
                <w:rFonts w:ascii="Times New Roman" w:cs="Times New Roman" w:eastAsia="Times New Roman" w:hAnsi="Times New Roman"/>
                <w:sz w:val="16"/>
                <w:szCs w:val="16"/>
                <w:color w:val="auto"/>
                <w:w w:val="97"/>
              </w:rPr>
              <w:t>(397)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Intersegment sales/(elimination)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413</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74</w:t>
            </w:r>
          </w:p>
        </w:tc>
        <w:tc>
          <w:tcPr>
            <w:tcW w:w="4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tcPr>
          <w:p>
            <w:pPr>
              <w:spacing w:after="0"/>
              <w:rPr>
                <w:sz w:val="18"/>
                <w:szCs w:val="18"/>
                <w:color w:val="auto"/>
              </w:rPr>
            </w:pPr>
          </w:p>
        </w:tc>
        <w:tc>
          <w:tcPr>
            <w:tcW w:w="3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166</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78</w:t>
            </w:r>
          </w:p>
        </w:tc>
        <w:tc>
          <w:tcPr>
            <w:tcW w:w="4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Segment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16,049</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4,344</w:t>
            </w:r>
          </w:p>
        </w:tc>
        <w:tc>
          <w:tcPr>
            <w:tcW w:w="4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40" w:type="dxa"/>
            <w:vAlign w:val="bottom"/>
          </w:tcPr>
          <w:p>
            <w:pPr>
              <w:spacing w:after="0"/>
              <w:rPr>
                <w:sz w:val="18"/>
                <w:szCs w:val="18"/>
                <w:color w:val="auto"/>
              </w:rPr>
            </w:pPr>
          </w:p>
        </w:tc>
        <w:tc>
          <w:tcPr>
            <w:tcW w:w="3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Segment financial information for 2024 is as follows: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Freight Segment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Transit Segment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Activities and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Elimination</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to external customers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2,919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0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(2,076)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572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843</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gridSpan w:val="3"/>
          </w:tcPr>
          <w:p>
            <w:pPr>
              <w:ind w:left="2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33.8 %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28.9 %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&amp; administrative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(664)</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(433)</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Engineering expenses</w:t>
            </w:r>
          </w:p>
        </w:tc>
        <w:tc>
          <w:tcPr>
            <w:tcW w:w="10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expense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and other, net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Intersegment sales/(elimination)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413</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w:t>
            </w:r>
          </w:p>
        </w:tc>
        <w:tc>
          <w:tcPr>
            <w:tcW w:w="4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center"/>
              <w:ind w:left="659"/>
              <w:spacing w:after="0"/>
              <w:rPr>
                <w:sz w:val="20"/>
                <w:szCs w:val="20"/>
                <w:color w:val="auto"/>
              </w:rPr>
            </w:pPr>
            <w:r>
              <w:rPr>
                <w:rFonts w:ascii="Times New Roman" w:cs="Times New Roman" w:eastAsia="Times New Roman" w:hAnsi="Times New Roman"/>
                <w:sz w:val="16"/>
                <w:szCs w:val="16"/>
                <w:color w:val="auto"/>
                <w:w w:val="99"/>
              </w:rPr>
              <w:t>17</w:t>
            </w:r>
          </w:p>
        </w:tc>
        <w:tc>
          <w:tcPr>
            <w:tcW w:w="40" w:type="dxa"/>
            <w:vAlign w:val="bottom"/>
          </w:tcPr>
          <w:p>
            <w:pPr>
              <w:spacing w:after="0"/>
              <w:rPr>
                <w:sz w:val="18"/>
                <w:szCs w:val="18"/>
                <w:color w:val="auto"/>
              </w:rPr>
            </w:pPr>
          </w:p>
        </w:tc>
        <w:tc>
          <w:tcPr>
            <w:tcW w:w="3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140</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w:t>
            </w:r>
          </w:p>
        </w:tc>
        <w:tc>
          <w:tcPr>
            <w:tcW w:w="4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Segment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13,176</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3,861</w:t>
            </w:r>
          </w:p>
        </w:tc>
        <w:tc>
          <w:tcPr>
            <w:tcW w:w="4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40" w:type="dxa"/>
            <w:vAlign w:val="bottom"/>
          </w:tcPr>
          <w:p>
            <w:pPr>
              <w:spacing w:after="0"/>
              <w:rPr>
                <w:sz w:val="18"/>
                <w:szCs w:val="18"/>
                <w:color w:val="auto"/>
              </w:rPr>
            </w:pPr>
          </w:p>
        </w:tc>
        <w:tc>
          <w:tcPr>
            <w:tcW w:w="3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Segment financial information for 2023 is as follows: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4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Freight Segment</w:t>
            </w:r>
          </w:p>
        </w:tc>
        <w:tc>
          <w:tcPr>
            <w:tcW w:w="100" w:type="dxa"/>
            <w:vAlign w:val="bottom"/>
          </w:tcPr>
          <w:p>
            <w:pPr>
              <w:spacing w:after="0"/>
              <w:rPr>
                <w:sz w:val="14"/>
                <w:szCs w:val="14"/>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Transit Segment</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Activities and</w:t>
            </w:r>
          </w:p>
        </w:tc>
        <w:tc>
          <w:tcPr>
            <w:tcW w:w="260" w:type="dxa"/>
            <w:vAlign w:val="bottom"/>
          </w:tcPr>
          <w:p>
            <w:pPr>
              <w:spacing w:after="0"/>
              <w:rPr>
                <w:sz w:val="14"/>
                <w:szCs w:val="14"/>
                <w:color w:val="auto"/>
              </w:rPr>
            </w:pPr>
          </w:p>
        </w:tc>
        <w:tc>
          <w:tcPr>
            <w:tcW w:w="96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Elimination</w:t>
            </w: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to external customers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4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(6,733)</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578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31.5 %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27.7 %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&amp; administrative expenses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Engineering expenses</w:t>
            </w:r>
          </w:p>
        </w:tc>
        <w:tc>
          <w:tcPr>
            <w:tcW w:w="4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expense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and other, net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Intersegment sales/(elimination)</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78" w:name="page79"/>
    <w:bookmarkEnd w:id="78"/>
    <w:p>
      <w:pPr>
        <w:ind w:right="480" w:firstLine="486"/>
        <w:spacing w:after="0" w:line="266" w:lineRule="auto"/>
        <w:rPr>
          <w:sz w:val="20"/>
          <w:szCs w:val="20"/>
          <w:color w:val="auto"/>
        </w:rPr>
      </w:pPr>
      <w:r>
        <w:rPr>
          <w:rFonts w:ascii="Times New Roman" w:cs="Times New Roman" w:eastAsia="Times New Roman" w:hAnsi="Times New Roman"/>
          <w:sz w:val="18"/>
          <w:szCs w:val="18"/>
          <w:color w:val="auto"/>
        </w:rPr>
        <w:t>The following geographic area data as of and for the years ended December 31, 2025, 2024 and 2023, respectively, includes net sales based on product shipment destination and long-lived assets, which consist of property, plant and equipment, net of depreciation, resident in their respective countries: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Long-Lived Assets</w:t>
            </w:r>
          </w:p>
        </w:tc>
      </w:tr>
      <w:tr>
        <w:trPr>
          <w:trHeight w:val="158"/>
        </w:trPr>
        <w:tc>
          <w:tcPr>
            <w:tcW w:w="20" w:type="dxa"/>
            <w:vAlign w:val="bottom"/>
          </w:tcPr>
          <w:p>
            <w:pPr>
              <w:spacing w:after="0"/>
              <w:rPr>
                <w:sz w:val="13"/>
                <w:szCs w:val="13"/>
                <w:color w:val="auto"/>
              </w:rPr>
            </w:pPr>
          </w:p>
        </w:tc>
        <w:tc>
          <w:tcPr>
            <w:tcW w:w="33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3"/>
                <w:szCs w:val="13"/>
                <w:color w:val="auto"/>
              </w:rPr>
            </w:pPr>
          </w:p>
        </w:tc>
        <w:tc>
          <w:tcPr>
            <w:tcW w:w="1140" w:type="dxa"/>
            <w:vAlign w:val="bottom"/>
          </w:tcPr>
          <w:p>
            <w:pPr>
              <w:jc w:val="right"/>
              <w:ind w:right="49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ind w:right="49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1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49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49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United States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r>
      <w:tr>
        <w:trPr>
          <w:trHeight w:val="213"/>
        </w:trPr>
        <w:tc>
          <w:tcPr>
            <w:tcW w:w="20" w:type="dxa"/>
            <w:vAlign w:val="bottom"/>
          </w:tcPr>
          <w:p>
            <w:pPr>
              <w:spacing w:after="0"/>
              <w:rPr>
                <w:sz w:val="18"/>
                <w:szCs w:val="18"/>
                <w:color w:val="auto"/>
              </w:rPr>
            </w:pPr>
          </w:p>
        </w:tc>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Canada</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Mexico</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7"/>
        </w:trPr>
        <w:tc>
          <w:tcPr>
            <w:tcW w:w="20" w:type="dxa"/>
            <w:vAlign w:val="bottom"/>
            <w:tcBorders>
              <w:bottom w:val="single" w:sz="8" w:color="CCEEFF"/>
            </w:tcBorders>
          </w:tcPr>
          <w:p>
            <w:pPr>
              <w:spacing w:after="0"/>
              <w:rPr>
                <w:sz w:val="17"/>
                <w:szCs w:val="17"/>
                <w:color w:val="auto"/>
              </w:rPr>
            </w:pPr>
          </w:p>
        </w:tc>
        <w:tc>
          <w:tcPr>
            <w:tcW w:w="3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North America</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w:t>
            </w:r>
          </w:p>
        </w:tc>
      </w:tr>
      <w:tr>
        <w:trPr>
          <w:trHeight w:val="131"/>
        </w:trPr>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213"/>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South America</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151"/>
        </w:trPr>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France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Germany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3"/>
        </w:trPr>
        <w:tc>
          <w:tcPr>
            <w:tcW w:w="20" w:type="dxa"/>
            <w:vAlign w:val="bottom"/>
          </w:tcPr>
          <w:p>
            <w:pPr>
              <w:spacing w:after="0"/>
              <w:rPr>
                <w:sz w:val="18"/>
                <w:szCs w:val="18"/>
                <w:color w:val="auto"/>
              </w:rPr>
            </w:pPr>
          </w:p>
        </w:tc>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United Kingdom</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Italy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3"/>
        </w:trPr>
        <w:tc>
          <w:tcPr>
            <w:tcW w:w="20" w:type="dxa"/>
            <w:vAlign w:val="bottom"/>
            <w:tcBorders>
              <w:bottom w:val="single" w:sz="8" w:color="CCEEFF"/>
            </w:tcBorders>
          </w:tcPr>
          <w:p>
            <w:pPr>
              <w:spacing w:after="0"/>
              <w:rPr>
                <w:sz w:val="18"/>
                <w:szCs w:val="18"/>
                <w:color w:val="auto"/>
              </w:rPr>
            </w:pPr>
          </w:p>
        </w:tc>
        <w:tc>
          <w:tcPr>
            <w:tcW w:w="33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Europe</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09"/>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Europe</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131"/>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India</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3"/>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Australia / New Zealand</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Kazakhstan / CIS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China</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51"/>
        </w:trPr>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Asia / Middle East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51"/>
        </w:trPr>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Africa</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51"/>
        </w:trPr>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9,677</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1,447</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sales to external customers by product line are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7"/>
                <w:szCs w:val="17"/>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Freight Segment:</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w:t>
            </w: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w:t>
            </w:r>
          </w:p>
        </w:tc>
      </w:tr>
      <w:tr>
        <w:trPr>
          <w:trHeight w:val="213"/>
        </w:trPr>
        <w:tc>
          <w:tcPr>
            <w:tcW w:w="20" w:type="dxa"/>
            <w:vAlign w:val="bottom"/>
          </w:tcPr>
          <w:p>
            <w:pPr>
              <w:spacing w:after="0"/>
              <w:rPr>
                <w:sz w:val="18"/>
                <w:szCs w:val="18"/>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Components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w:t>
            </w:r>
          </w:p>
        </w:tc>
      </w:tr>
      <w:tr>
        <w:trPr>
          <w:trHeight w:val="216"/>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Digital Intelligence</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r>
      <w:tr>
        <w:trPr>
          <w:trHeight w:val="212"/>
        </w:trPr>
        <w:tc>
          <w:tcPr>
            <w:tcW w:w="20" w:type="dxa"/>
            <w:vAlign w:val="bottom"/>
          </w:tcPr>
          <w:p>
            <w:pPr>
              <w:spacing w:after="0"/>
              <w:rPr>
                <w:sz w:val="18"/>
                <w:szCs w:val="18"/>
                <w:color w:val="auto"/>
              </w:rPr>
            </w:pPr>
          </w:p>
        </w:tc>
        <w:tc>
          <w:tcPr>
            <w:tcW w:w="6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Freight Segment</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Transit Segment:</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Original Equipment Manufacturer</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w:t>
            </w:r>
          </w:p>
        </w:tc>
      </w:tr>
      <w:tr>
        <w:trPr>
          <w:trHeight w:val="213"/>
        </w:trPr>
        <w:tc>
          <w:tcPr>
            <w:tcW w:w="2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Aftermarket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Transit Segment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20. OTHER INCOME,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Other income, net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6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64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3"/>
                <w:szCs w:val="13"/>
                <w:color w:val="auto"/>
              </w:rPr>
            </w:pPr>
          </w:p>
        </w:tc>
        <w:tc>
          <w:tcPr>
            <w:tcW w:w="1160" w:type="dxa"/>
            <w:vAlign w:val="bottom"/>
          </w:tcPr>
          <w:p>
            <w:pPr>
              <w:jc w:val="right"/>
              <w:ind w:right="49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jc w:val="right"/>
              <w:ind w:right="51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loss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gain on mark-to-market derivatives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income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Expected return on pension assets/amortization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6"/>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miscellaneous (expense) income</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2"/>
        </w:trPr>
        <w:tc>
          <w:tcPr>
            <w:tcW w:w="2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Other income, net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486"/>
        <w:spacing w:after="0" w:line="239" w:lineRule="auto"/>
        <w:rPr>
          <w:sz w:val="20"/>
          <w:szCs w:val="20"/>
          <w:color w:val="auto"/>
        </w:rPr>
      </w:pPr>
      <w:r>
        <w:rPr>
          <w:rFonts w:ascii="Times New Roman" w:cs="Times New Roman" w:eastAsia="Times New Roman" w:hAnsi="Times New Roman"/>
          <w:sz w:val="18"/>
          <w:szCs w:val="18"/>
          <w:color w:val="auto"/>
        </w:rPr>
        <w:t>In connection with the completed acquisition of Frauscher and announced definitive agreement to acquire Dellner Couplers, the Company entered into foreign exchange contracts for a notional value of €1,290 million to mitigate foreign currency exposure of the purchase price. As part of the acquisition of Frauscher, the Company utilized foreign exchange forward contracts with a notional value of €690 million. The contracts are not designated as accounting hedges under Topic 815 of ASC, and as such, the gains and losses are recorded as a component of Other income, net. For the year ended December 31, 2025, these contracts resulted in a net gain of $19 million.</w:t>
      </w:r>
    </w:p>
    <w:p>
      <w:pPr>
        <w:spacing w:after="0" w:line="130"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18"/>
          <w:szCs w:val="18"/>
          <w:color w:val="auto"/>
        </w:rPr>
        <w:t>As a result of the change in ownership interest and obtaining control of LKZ, Wabtec's previously held equity interest balance was remeasured to fair value, resulting in a gain of approximately $35 million recorded to Other income, net and is included in Other miscellaneous income in 2023. See Note 3 for additional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RESTRUCTURING</w:t>
      </w:r>
    </w:p>
    <w:p>
      <w:pPr>
        <w:spacing w:after="0" w:line="108"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Wabtec is focused on driving operational efficiency and improving profitability while reducing manufacturing complexity. As a result, there are key strategic initiatives aimed at achieving these focus areas.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Integration 3.0</w:t>
      </w:r>
    </w:p>
    <w:p>
      <w:pPr>
        <w:spacing w:after="0" w:line="106" w:lineRule="exact"/>
        <w:rPr>
          <w:sz w:val="20"/>
          <w:szCs w:val="20"/>
          <w:color w:val="auto"/>
        </w:rPr>
      </w:pPr>
    </w:p>
    <w:p>
      <w:pPr>
        <w:ind w:right="120" w:firstLine="486"/>
        <w:spacing w:after="0" w:line="250" w:lineRule="auto"/>
        <w:rPr>
          <w:sz w:val="20"/>
          <w:szCs w:val="20"/>
          <w:color w:val="auto"/>
        </w:rPr>
      </w:pPr>
      <w:r>
        <w:rPr>
          <w:rFonts w:ascii="Times New Roman" w:cs="Times New Roman" w:eastAsia="Times New Roman" w:hAnsi="Times New Roman"/>
          <w:sz w:val="18"/>
          <w:szCs w:val="18"/>
          <w:color w:val="auto"/>
        </w:rPr>
        <w:t>Integration 3.0 is a multi-year strategic initiative to further consolidate our footprint, reduce complexity and streamline manufacturing, engineering, administrative, and commercial activities. The Company anticipates that it will incur one-time restructuring charges related to Integration 3.0 of approximately $80 million to $100 million. Net charges to date of $36 million were primarily for employee-related costs.</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restructuring charges related to the Integration 3.0 initiative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For the year ended</w:t>
            </w:r>
          </w:p>
        </w:tc>
      </w:t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66"/>
        </w:trPr>
        <w:tc>
          <w:tcPr>
            <w:tcW w:w="20" w:type="dxa"/>
            <w:vAlign w:val="bottom"/>
          </w:tcPr>
          <w:p>
            <w:pPr>
              <w:spacing w:after="0"/>
              <w:rPr>
                <w:sz w:val="14"/>
                <w:szCs w:val="14"/>
                <w:color w:val="auto"/>
              </w:rPr>
            </w:pPr>
          </w:p>
        </w:tc>
        <w:tc>
          <w:tcPr>
            <w:tcW w:w="904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Pr>
          <w:p>
            <w:pPr>
              <w:spacing w:after="0"/>
              <w:rPr>
                <w:sz w:val="14"/>
                <w:szCs w:val="14"/>
                <w:color w:val="auto"/>
              </w:rPr>
            </w:pPr>
          </w:p>
        </w:tc>
        <w:tc>
          <w:tcPr>
            <w:tcW w:w="1920" w:type="dxa"/>
            <w:vAlign w:val="bottom"/>
          </w:tcPr>
          <w:p>
            <w:pPr>
              <w:jc w:val="center"/>
              <w:ind w:right="199"/>
              <w:spacing w:after="0" w:line="146" w:lineRule="exact"/>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8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Freight Segment:</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9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Cost of goods sold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7"/>
        </w:trPr>
        <w:tc>
          <w:tcPr>
            <w:tcW w:w="20" w:type="dxa"/>
            <w:vAlign w:val="bottom"/>
          </w:tcPr>
          <w:p>
            <w:pPr>
              <w:spacing w:after="0"/>
              <w:rPr>
                <w:sz w:val="17"/>
                <w:szCs w:val="17"/>
                <w:color w:val="auto"/>
              </w:rPr>
            </w:pPr>
          </w:p>
        </w:tc>
        <w:tc>
          <w:tcPr>
            <w:tcW w:w="9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Freight Segment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111"/>
        </w:trPr>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3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920" w:type="dxa"/>
            <w:vAlign w:val="bottom"/>
            <w:shd w:val="clear" w:color="auto" w:fill="CCEEFF"/>
          </w:tcPr>
          <w:p>
            <w:pPr>
              <w:spacing w:after="0"/>
              <w:rPr>
                <w:sz w:val="9"/>
                <w:szCs w:val="9"/>
                <w:color w:val="auto"/>
              </w:rPr>
            </w:pPr>
          </w:p>
        </w:tc>
      </w:tr>
      <w:tr>
        <w:trPr>
          <w:trHeight w:val="213"/>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Transit Segment:</w:t>
            </w: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goods sold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20" w:type="dxa"/>
            <w:vAlign w:val="bottom"/>
            <w:tcBorders>
              <w:bottom w:val="single" w:sz="8" w:color="CCEEFF"/>
            </w:tcBorders>
          </w:tcPr>
          <w:p>
            <w:pPr>
              <w:spacing w:after="0"/>
              <w:rPr>
                <w:sz w:val="18"/>
                <w:szCs w:val="18"/>
                <w:color w:val="auto"/>
              </w:rPr>
            </w:pPr>
          </w:p>
        </w:tc>
        <w:tc>
          <w:tcPr>
            <w:tcW w:w="90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20" w:type="dxa"/>
            <w:vAlign w:val="bottom"/>
            <w:shd w:val="clear" w:color="auto" w:fill="CCEEFF"/>
          </w:tcPr>
          <w:p>
            <w:pPr>
              <w:spacing w:after="0"/>
              <w:rPr>
                <w:sz w:val="18"/>
                <w:szCs w:val="18"/>
                <w:color w:val="auto"/>
              </w:rPr>
            </w:pPr>
          </w:p>
        </w:tc>
        <w:tc>
          <w:tcPr>
            <w:tcW w:w="9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Transit Segment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108"/>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90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Integration 3.0 restructuring charges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approximately $9 million of net charges were recorded, of which $3 million was in the Freight Segment and $6 million was in the Transit Segment. Cash payments for the years ended December 31, 2025 and 2024 were not material.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Optimization</w:t>
      </w:r>
    </w:p>
    <w:p>
      <w:pPr>
        <w:spacing w:after="0" w:line="106" w:lineRule="exact"/>
        <w:rPr>
          <w:sz w:val="20"/>
          <w:szCs w:val="20"/>
          <w:color w:val="auto"/>
        </w:rPr>
      </w:pPr>
    </w:p>
    <w:p>
      <w:pPr>
        <w:ind w:right="800" w:firstLine="486"/>
        <w:spacing w:after="0" w:line="266" w:lineRule="auto"/>
        <w:rPr>
          <w:sz w:val="20"/>
          <w:szCs w:val="20"/>
          <w:color w:val="auto"/>
        </w:rPr>
      </w:pPr>
      <w:r>
        <w:rPr>
          <w:rFonts w:ascii="Times New Roman" w:cs="Times New Roman" w:eastAsia="Times New Roman" w:hAnsi="Times New Roman"/>
          <w:sz w:val="18"/>
          <w:szCs w:val="18"/>
          <w:color w:val="auto"/>
        </w:rPr>
        <w:t>Wabtec is focused on exiting various low margin product offerings through Portfolio Optimization to improve profitability while reducing manufacturing complexity. Wabtec recorded net charges of approximately $45 million, $28 million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0" w:name="page81"/>
    <w:bookmarkEnd w:id="80"/>
    <w:p>
      <w:pPr>
        <w:ind w:right="220"/>
        <w:spacing w:after="0" w:line="250" w:lineRule="auto"/>
        <w:rPr>
          <w:sz w:val="20"/>
          <w:szCs w:val="20"/>
          <w:color w:val="auto"/>
        </w:rPr>
      </w:pPr>
      <w:r>
        <w:rPr>
          <w:rFonts w:ascii="Times New Roman" w:cs="Times New Roman" w:eastAsia="Times New Roman" w:hAnsi="Times New Roman"/>
          <w:sz w:val="18"/>
          <w:szCs w:val="18"/>
          <w:color w:val="auto"/>
        </w:rPr>
        <w:t>and $28 million for the years ended December 31, 2025, 2024 and 2023, respectively, primarily for asset write downs related to Portfolio Optimization. During 2025, approximately $41 million was related to the Freight Segment and approximately $4 million was related to the Transit Segment. Total one-time restructuring charges related to Portfolio Optimization to date are approximately $101 million.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Integration 2.0</w:t>
      </w:r>
    </w:p>
    <w:p>
      <w:pPr>
        <w:spacing w:after="0" w:line="106" w:lineRule="exact"/>
        <w:rPr>
          <w:sz w:val="20"/>
          <w:szCs w:val="20"/>
          <w:color w:val="auto"/>
        </w:rPr>
      </w:pPr>
    </w:p>
    <w:p>
      <w:pPr>
        <w:jc w:val="both"/>
        <w:ind w:right="320" w:firstLine="486"/>
        <w:spacing w:after="0"/>
        <w:rPr>
          <w:sz w:val="20"/>
          <w:szCs w:val="20"/>
          <w:color w:val="auto"/>
        </w:rPr>
      </w:pPr>
      <w:r>
        <w:rPr>
          <w:rFonts w:ascii="Times New Roman" w:cs="Times New Roman" w:eastAsia="Times New Roman" w:hAnsi="Times New Roman"/>
          <w:sz w:val="18"/>
          <w:szCs w:val="18"/>
          <w:color w:val="auto"/>
        </w:rPr>
        <w:t>Integration 2.0 is a multi-year strategic initiative to review and consolidate our operating footprint, reduce headcount, streamline the end-to-end manufacturing process, restructure the North America distribution channels, expand operations in low-cost countries, and simplify the business through systems enablement. The Company anticipates that it will incur one-time charges related to Integration 2.0 up to approximately $170 million, of which approximately $149 million has been incurred to date. There were no material charges or cash payments during the year ended December 31, 2025.</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restructuring charges related to the Integration 2.0 initiative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4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142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2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67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00" w:type="dxa"/>
            <w:vAlign w:val="bottom"/>
          </w:tcPr>
          <w:p>
            <w:pPr>
              <w:spacing w:after="0"/>
              <w:rPr>
                <w:sz w:val="13"/>
                <w:szCs w:val="13"/>
                <w:color w:val="auto"/>
              </w:rPr>
            </w:pPr>
          </w:p>
        </w:tc>
        <w:tc>
          <w:tcPr>
            <w:tcW w:w="1660" w:type="dxa"/>
            <w:vAlign w:val="bottom"/>
          </w:tcPr>
          <w:p>
            <w:pPr>
              <w:jc w:val="right"/>
              <w:ind w:right="83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20" w:type="dxa"/>
            <w:vAlign w:val="bottom"/>
          </w:tcPr>
          <w:p>
            <w:pPr>
              <w:jc w:val="right"/>
              <w:ind w:right="85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Freight Segment:</w:t>
            </w: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Cost of goods sold</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5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20" w:type="dxa"/>
            <w:vAlign w:val="bottom"/>
            <w:tcBorders>
              <w:bottom w:val="single" w:sz="8" w:color="CCEEFF"/>
            </w:tcBorders>
          </w:tcPr>
          <w:p>
            <w:pPr>
              <w:spacing w:after="0"/>
              <w:rPr>
                <w:sz w:val="18"/>
                <w:szCs w:val="18"/>
                <w:color w:val="auto"/>
              </w:rPr>
            </w:pPr>
          </w:p>
        </w:tc>
        <w:tc>
          <w:tcPr>
            <w:tcW w:w="6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Freight Segment</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08"/>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Transit Segment:</w:t>
            </w: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Cost of goods sold</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9"/>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20" w:type="dxa"/>
            <w:vAlign w:val="bottom"/>
            <w:tcBorders>
              <w:bottom w:val="single" w:sz="8" w:color="CCEEFF"/>
            </w:tcBorders>
          </w:tcPr>
          <w:p>
            <w:pPr>
              <w:spacing w:after="0"/>
              <w:rPr>
                <w:sz w:val="18"/>
                <w:szCs w:val="18"/>
                <w:color w:val="auto"/>
              </w:rPr>
            </w:pPr>
          </w:p>
        </w:tc>
        <w:tc>
          <w:tcPr>
            <w:tcW w:w="67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Amortization expense</w:t>
            </w: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2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Transit Segment</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2"/>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Integration 2.0 restructuring charges</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payments made during 2024 and 2023 were approximately $48 million and $39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1" w:name="page82"/>
    <w:bookmarkEnd w:id="81"/>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disagreements with our independent registered public accountants.</w:t>
      </w:r>
    </w:p>
    <w:p>
      <w:pPr>
        <w:spacing w:after="0" w:line="154"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Wabtec’s principal executive officer and its principal financial officer have evaluated the effectiveness of Wabtec’s “disclosure controls and procedures,” (as defined in Exchange Act Rule 13a-15(e)) as of December 31, 2025.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finance officer,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There was no change in Wabtec’s “internal control over financial reporting” (as defined in Rule 13a-15(f) under the Exchange Act) that occurred during the quarter ended December 31, 2025, that has materially affected, or is reasonably likely to materially affect, Wabtec’s internal control over financial reporting. Management’s annual report on internal control over financial reporting and the attestation report of the registered public accounting firm are included in Part II, Item 8 of this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08"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 xml:space="preserve">Management’s Report on Internal Control Over Financial Reporting is included in Part II, Item 8 of this report on page </w:t>
      </w:r>
      <w:r>
        <w:rPr>
          <w:rFonts w:ascii="Times New Roman" w:cs="Times New Roman" w:eastAsia="Times New Roman" w:hAnsi="Times New Roman"/>
          <w:sz w:val="18"/>
          <w:szCs w:val="18"/>
          <w:u w:val="single" w:color="auto"/>
          <w:color w:val="0000FF"/>
        </w:rPr>
        <w:t>42</w:t>
      </w:r>
      <w:r>
        <w:rPr>
          <w:rFonts w:ascii="Times New Roman" w:cs="Times New Roman" w:eastAsia="Times New Roman" w:hAnsi="Times New Roman"/>
          <w:sz w:val="18"/>
          <w:szCs w:val="18"/>
          <w:color w:val="auto"/>
        </w:rPr>
        <w:t xml:space="preserve"> and is incorporated by reference herein.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on Internal Control over Financial Reporting</w:t>
      </w:r>
    </w:p>
    <w:p>
      <w:pPr>
        <w:spacing w:after="0" w:line="121"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 xml:space="preserve">Ernst &amp; Young LLP's attestation report on internal control over financial reporting is included on Part II, Item 8 of this report on page </w:t>
      </w:r>
      <w:r>
        <w:rPr>
          <w:rFonts w:ascii="Times New Roman" w:cs="Times New Roman" w:eastAsia="Times New Roman" w:hAnsi="Times New Roman"/>
          <w:sz w:val="18"/>
          <w:szCs w:val="18"/>
          <w:u w:val="single" w:color="auto"/>
          <w:color w:val="0000FF"/>
        </w:rPr>
        <w:t>46</w:t>
      </w:r>
      <w:r>
        <w:rPr>
          <w:rFonts w:ascii="Times New Roman" w:cs="Times New Roman" w:eastAsia="Times New Roman" w:hAnsi="Times New Roman"/>
          <w:sz w:val="18"/>
          <w:szCs w:val="18"/>
          <w:color w:val="auto"/>
        </w:rPr>
        <w:t xml:space="preserve"> and is incorporated by reference herein.</w:t>
      </w:r>
    </w:p>
    <w:p>
      <w:pPr>
        <w:spacing w:after="0" w:line="225"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6"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On November 5, 2025, Greg Sbrocco, Wabtec’s Executive Vice President, Global Operations, entered into a stock trading plan (the “Plan”) designed to comply with Rule 10b5-1(c) under the Securities Exchange Act of 1934, as amended. Under the terms of the Plan, up to 4,761 shares may be sold from February 2026 to February 2027.</w:t>
      </w:r>
    </w:p>
    <w:p>
      <w:pPr>
        <w:spacing w:after="0" w:line="68"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On November 19, 2025, Rafael Santana, Wabtec’s President and Chief Executive Officer, entered into a stock trading plan (the “Plan”) designed to comply with Rule 10b5-1(c) under the Securities Exchange Act of 1934, as amended. Under the terms of the Plan, shares may be sold from March 2026 to August 2026. Two types of shares are being sold: (i) up to 11,630 shares jointly owned by Mr. Santana and his spouse and (ii) shares issued to Mr. Santana with respect to the three-year performance units granted to him on March 2, 2023, that vest on March 31, 2026. A performance unit is equal to a share of Wabtec common stock, and the number of performance units granted to Mr. Santana on March 2, 2023 was 60,852. The maximum number of shares that may be issued to Mr. Santana with respect to these performance units is 184%, net of shares traded or withheld for tax or other reasons. Under the Plan, 100% of the performance unit shares issued to Mr. Santana are to be sold.</w:t>
      </w:r>
    </w:p>
    <w:p>
      <w:pPr>
        <w:spacing w:after="0" w:line="360"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 through 14.</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accordance with the provisions of General Instruction G(3) to Form 10-K, the information required by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Accounting Fees and Services) is incorporated herein by reference from the Company’s definitive Proxy Statement for its Annual Meeting of Stockholders to be held on May 12, 2026, except for the Equity Compensation Plan Information required by Item 12, which is set forth in the table below. The definitive Proxy Statement will be filed with the Securities and Exchange Commission not later than 120 days after December 31, 2025. Information relating to the executive officers of the Company is set forth in Part I.</w:t>
      </w:r>
    </w:p>
    <w:p>
      <w:pPr>
        <w:spacing w:after="0" w:line="8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 xml:space="preserve">Wabtec has adopted a Code of Business Conduct and Ethics which is applicable to all of our employees, including our executive officers. This Code of Business Conduct and Ethics is posted on our website at </w:t>
      </w:r>
      <w:r>
        <w:rPr>
          <w:rFonts w:ascii="Times New Roman" w:cs="Times New Roman" w:eastAsia="Times New Roman" w:hAnsi="Times New Roman"/>
          <w:sz w:val="18"/>
          <w:szCs w:val="18"/>
          <w:i w:val="1"/>
          <w:iCs w:val="1"/>
          <w:color w:val="auto"/>
        </w:rPr>
        <w:t>www.wabteccorp.com</w:t>
      </w:r>
      <w:r>
        <w:rPr>
          <w:rFonts w:ascii="Times New Roman" w:cs="Times New Roman" w:eastAsia="Times New Roman" w:hAnsi="Times New Roman"/>
          <w:sz w:val="18"/>
          <w:szCs w:val="18"/>
          <w:color w:val="auto"/>
        </w:rPr>
        <w:t>. In the event that we make any amendments to or waivers from this code, we will disclose the amendment or waiver and the reasons for such on our website.</w:t>
      </w:r>
    </w:p>
    <w:p>
      <w:pPr>
        <w:spacing w:after="0" w:line="68"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We have also adopted an insider trading policy and procedures applicable to directors, officers, employees, and other covered persons, and have implemented processes applicable to us, that we believe are reasonably designed to promote compliance with insider trading laws, rules and regulations, and listing standards of The New York Stock Exchange. A copy of our insider trading policy is filed as Exhibit 19.1 to this Annual Report.</w:t>
      </w:r>
    </w:p>
    <w:p>
      <w:pPr>
        <w:spacing w:after="0" w:line="68" w:lineRule="exact"/>
        <w:rPr>
          <w:sz w:val="20"/>
          <w:szCs w:val="20"/>
          <w:color w:val="auto"/>
        </w:rPr>
      </w:pPr>
    </w:p>
    <w:p>
      <w:pPr>
        <w:ind w:right="1040" w:firstLine="486"/>
        <w:spacing w:after="0" w:line="270" w:lineRule="auto"/>
        <w:rPr>
          <w:sz w:val="20"/>
          <w:szCs w:val="20"/>
          <w:color w:val="auto"/>
        </w:rPr>
      </w:pPr>
      <w:r>
        <w:rPr>
          <w:rFonts w:ascii="Times New Roman" w:cs="Times New Roman" w:eastAsia="Times New Roman" w:hAnsi="Times New Roman"/>
          <w:sz w:val="18"/>
          <w:szCs w:val="18"/>
          <w:color w:val="auto"/>
        </w:rPr>
        <w:t>This table provides aggregate information as of December 31, 2025 concerning equity awards under Wabtec’s compensation plans and arrangements.</w:t>
      </w: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2"/>
                <w:szCs w:val="12"/>
                <w:color w:val="auto"/>
              </w:rPr>
            </w:pP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40" w:type="dxa"/>
            <w:vAlign w:val="bottom"/>
          </w:tcPr>
          <w:p>
            <w:pPr>
              <w:spacing w:after="0"/>
              <w:rPr>
                <w:sz w:val="12"/>
                <w:szCs w:val="12"/>
                <w:color w:val="auto"/>
              </w:rPr>
            </w:pPr>
          </w:p>
        </w:tc>
        <w:tc>
          <w:tcPr>
            <w:tcW w:w="2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4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37"/>
        </w:trPr>
        <w:tc>
          <w:tcPr>
            <w:tcW w:w="4660" w:type="dxa"/>
            <w:vAlign w:val="bottom"/>
          </w:tcPr>
          <w:p>
            <w:pPr>
              <w:spacing w:after="0"/>
              <w:rPr>
                <w:sz w:val="11"/>
                <w:szCs w:val="11"/>
                <w:color w:val="auto"/>
              </w:rPr>
            </w:pPr>
          </w:p>
        </w:tc>
        <w:tc>
          <w:tcPr>
            <w:tcW w:w="220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40" w:type="dxa"/>
            <w:vAlign w:val="bottom"/>
          </w:tcPr>
          <w:p>
            <w:pPr>
              <w:spacing w:after="0"/>
              <w:rPr>
                <w:sz w:val="11"/>
                <w:szCs w:val="11"/>
                <w:color w:val="auto"/>
              </w:rPr>
            </w:pPr>
          </w:p>
        </w:tc>
        <w:tc>
          <w:tcPr>
            <w:tcW w:w="20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1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22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of outstanding options, warrants</w:t>
            </w:r>
          </w:p>
        </w:tc>
        <w:tc>
          <w:tcPr>
            <w:tcW w:w="140" w:type="dxa"/>
            <w:vAlign w:val="bottom"/>
          </w:tcPr>
          <w:p>
            <w:pPr>
              <w:spacing w:after="0"/>
              <w:rPr>
                <w:sz w:val="12"/>
                <w:szCs w:val="12"/>
                <w:color w:val="auto"/>
              </w:rPr>
            </w:pPr>
          </w:p>
        </w:tc>
        <w:tc>
          <w:tcPr>
            <w:tcW w:w="20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equity compensation</w:t>
            </w:r>
          </w:p>
        </w:tc>
        <w:tc>
          <w:tcPr>
            <w:tcW w:w="0" w:type="dxa"/>
            <w:vAlign w:val="bottom"/>
          </w:tcPr>
          <w:p>
            <w:pPr>
              <w:spacing w:after="0"/>
              <w:rPr>
                <w:sz w:val="1"/>
                <w:szCs w:val="1"/>
                <w:color w:val="auto"/>
              </w:rPr>
            </w:pPr>
          </w:p>
        </w:tc>
      </w:tr>
      <w:tr>
        <w:trPr>
          <w:trHeight w:val="148"/>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and rights</w:t>
            </w:r>
            <w:r>
              <w:rPr>
                <w:rFonts w:ascii="Times New Roman" w:cs="Times New Roman" w:eastAsia="Times New Roman" w:hAnsi="Times New Roman"/>
                <w:sz w:val="17"/>
                <w:szCs w:val="17"/>
                <w:b w:val="1"/>
                <w:bCs w:val="1"/>
                <w:color w:val="auto"/>
                <w:w w:val="99"/>
                <w:vertAlign w:val="superscript"/>
              </w:rPr>
              <w:t>(1)</w:t>
            </w:r>
          </w:p>
        </w:tc>
        <w:tc>
          <w:tcPr>
            <w:tcW w:w="14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 rights</w:t>
            </w:r>
            <w:r>
              <w:rPr>
                <w:rFonts w:ascii="Times New Roman" w:cs="Times New Roman" w:eastAsia="Times New Roman" w:hAnsi="Times New Roman"/>
                <w:sz w:val="17"/>
                <w:szCs w:val="17"/>
                <w:b w:val="1"/>
                <w:bCs w:val="1"/>
                <w:color w:val="auto"/>
                <w:vertAlign w:val="superscript"/>
              </w:rPr>
              <w:t>(1)</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 securities</w:t>
            </w:r>
          </w:p>
        </w:tc>
        <w:tc>
          <w:tcPr>
            <w:tcW w:w="0" w:type="dxa"/>
            <w:vAlign w:val="bottom"/>
          </w:tcPr>
          <w:p>
            <w:pPr>
              <w:spacing w:after="0"/>
              <w:rPr>
                <w:sz w:val="1"/>
                <w:szCs w:val="1"/>
                <w:color w:val="auto"/>
              </w:rPr>
            </w:pPr>
          </w:p>
        </w:tc>
      </w:tr>
      <w:tr>
        <w:trPr>
          <w:trHeight w:val="196"/>
        </w:trPr>
        <w:tc>
          <w:tcPr>
            <w:tcW w:w="4660" w:type="dxa"/>
            <w:vAlign w:val="bottom"/>
            <w:vMerge w:val="continue"/>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23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shareholders</w:t>
            </w:r>
          </w:p>
        </w:tc>
        <w:tc>
          <w:tcPr>
            <w:tcW w:w="2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746,715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77.62</w:t>
            </w:r>
          </w:p>
        </w:tc>
        <w:tc>
          <w:tcPr>
            <w:tcW w:w="100" w:type="dxa"/>
            <w:vAlign w:val="bottom"/>
            <w:shd w:val="clear" w:color="auto" w:fill="CCEEFF"/>
          </w:tcPr>
          <w:p>
            <w:pPr>
              <w:spacing w:after="0"/>
              <w:rPr>
                <w:sz w:val="20"/>
                <w:szCs w:val="20"/>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3,962,720</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2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6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746,715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77.62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3,962,720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500" w:right="120" w:hanging="492"/>
        <w:spacing w:after="0" w:line="266" w:lineRule="auto"/>
        <w:tabs>
          <w:tab w:leader="none" w:pos="4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outstanding options, performance units and restricted stock units but does not include outstanding restricted stock awards. The weighted-average exercise price in column (b) does not take outstanding performance units or restricted stock units into account because those awards do not have an exercise price.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83" w:name="page84"/>
    <w:bookmarkEnd w:id="83"/>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50"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16"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financial statements filed as part of this report are included in Part II Item 8 of this report. Financial statement schedules and exhibits listed below are filed as part of this annual report: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3"/>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9340" w:type="dxa"/>
            <w:vAlign w:val="bottom"/>
            <w:gridSpan w:val="27"/>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Reports on Internal Control</w:t>
            </w: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000" w:type="dxa"/>
            <w:vAlign w:val="bottom"/>
            <w:vMerge w:val="continue"/>
          </w:tcPr>
          <w:p>
            <w:pPr>
              <w:spacing w:after="0"/>
              <w:rPr>
                <w:sz w:val="18"/>
                <w:szCs w:val="18"/>
                <w:color w:val="auto"/>
              </w:rPr>
            </w:pPr>
          </w:p>
        </w:tc>
        <w:tc>
          <w:tcPr>
            <w:tcW w:w="9340" w:type="dxa"/>
            <w:vAlign w:val="bottom"/>
            <w:gridSpan w:val="27"/>
            <w:vMerge w:val="continue"/>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spacing w:after="0"/>
              <w:rPr>
                <w:sz w:val="16"/>
                <w:szCs w:val="16"/>
                <w:color w:val="auto"/>
              </w:rPr>
            </w:pPr>
          </w:p>
        </w:tc>
        <w:tc>
          <w:tcPr>
            <w:tcW w:w="656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Management’s Reports to Westinghouse Air Brake Technologies Corporation Shareholders</w:t>
            </w:r>
          </w:p>
        </w:tc>
        <w:tc>
          <w:tcPr>
            <w:tcW w:w="2780" w:type="dxa"/>
            <w:vAlign w:val="bottom"/>
            <w:gridSpan w:val="17"/>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0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spacing w:after="0"/>
              <w:rPr>
                <w:sz w:val="16"/>
                <w:szCs w:val="16"/>
                <w:color w:val="auto"/>
              </w:rPr>
            </w:pPr>
          </w:p>
        </w:tc>
        <w:tc>
          <w:tcPr>
            <w:tcW w:w="93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(PCAOB ID: 42, Pittsburgh, Pennsylvania)</w:t>
            </w:r>
          </w:p>
        </w:tc>
        <w:tc>
          <w:tcPr>
            <w:tcW w:w="88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spacing w:after="0"/>
              <w:rPr>
                <w:sz w:val="16"/>
                <w:szCs w:val="16"/>
                <w:color w:val="auto"/>
              </w:rPr>
            </w:pPr>
          </w:p>
        </w:tc>
        <w:tc>
          <w:tcPr>
            <w:tcW w:w="93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on Internal Control Over Financial Reporting</w:t>
            </w:r>
          </w:p>
        </w:tc>
        <w:tc>
          <w:tcPr>
            <w:tcW w:w="88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0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spacing w:after="0"/>
              <w:rPr>
                <w:sz w:val="16"/>
                <w:szCs w:val="16"/>
                <w:color w:val="auto"/>
              </w:rPr>
            </w:pPr>
          </w:p>
        </w:tc>
        <w:tc>
          <w:tcPr>
            <w:tcW w:w="752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December 31, 2025 and 2024</w:t>
            </w:r>
          </w:p>
        </w:tc>
        <w:tc>
          <w:tcPr>
            <w:tcW w:w="1820" w:type="dxa"/>
            <w:vAlign w:val="bottom"/>
            <w:gridSpan w:val="12"/>
          </w:tcPr>
          <w:p>
            <w:pPr>
              <w:spacing w:after="0"/>
              <w:rPr>
                <w:sz w:val="16"/>
                <w:szCs w:val="16"/>
                <w:color w:val="auto"/>
              </w:rPr>
            </w:pPr>
          </w:p>
        </w:tc>
        <w:tc>
          <w:tcPr>
            <w:tcW w:w="88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spacing w:after="0"/>
              <w:rPr>
                <w:sz w:val="16"/>
                <w:szCs w:val="16"/>
                <w:color w:val="auto"/>
              </w:rPr>
            </w:pPr>
          </w:p>
        </w:tc>
        <w:tc>
          <w:tcPr>
            <w:tcW w:w="93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 for the three years ended December 31, 2025, 2024 and 2023</w:t>
            </w:r>
          </w:p>
        </w:tc>
        <w:tc>
          <w:tcPr>
            <w:tcW w:w="88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0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spacing w:after="0"/>
              <w:rPr>
                <w:sz w:val="16"/>
                <w:szCs w:val="16"/>
                <w:color w:val="auto"/>
              </w:rPr>
            </w:pPr>
          </w:p>
        </w:tc>
        <w:tc>
          <w:tcPr>
            <w:tcW w:w="93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three years ended December 31, 2025, 2024 and 2023</w:t>
            </w:r>
          </w:p>
        </w:tc>
        <w:tc>
          <w:tcPr>
            <w:tcW w:w="88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spacing w:after="0"/>
              <w:rPr>
                <w:sz w:val="16"/>
                <w:szCs w:val="16"/>
                <w:color w:val="auto"/>
              </w:rPr>
            </w:pPr>
          </w:p>
        </w:tc>
        <w:tc>
          <w:tcPr>
            <w:tcW w:w="93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three years ended December 31, 2025, 2024 and 2023</w:t>
            </w:r>
          </w:p>
        </w:tc>
        <w:tc>
          <w:tcPr>
            <w:tcW w:w="88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0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spacing w:after="0"/>
              <w:rPr>
                <w:sz w:val="16"/>
                <w:szCs w:val="16"/>
                <w:color w:val="auto"/>
              </w:rPr>
            </w:pPr>
          </w:p>
        </w:tc>
        <w:tc>
          <w:tcPr>
            <w:tcW w:w="934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Shareholders’ Equity for the three years ended December 31, 2025, 2024 and 2023</w:t>
            </w:r>
          </w:p>
        </w:tc>
        <w:tc>
          <w:tcPr>
            <w:tcW w:w="88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shd w:val="clear" w:color="auto" w:fill="CCEEFF"/>
          </w:tcPr>
          <w:p>
            <w:pPr>
              <w:spacing w:after="0"/>
              <w:rPr>
                <w:sz w:val="18"/>
                <w:szCs w:val="18"/>
                <w:color w:val="auto"/>
              </w:rPr>
            </w:pPr>
          </w:p>
        </w:tc>
        <w:tc>
          <w:tcPr>
            <w:tcW w:w="93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88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31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tc>
        <w:tc>
          <w:tcPr>
            <w:tcW w:w="6200" w:type="dxa"/>
            <w:vAlign w:val="bottom"/>
            <w:tcBorders>
              <w:top w:val="single" w:sz="8" w:color="CCEEFF"/>
            </w:tcBorders>
            <w:gridSpan w:val="24"/>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00" w:type="dxa"/>
            <w:vAlign w:val="bottom"/>
            <w:shd w:val="clear" w:color="auto" w:fill="CCEEFF"/>
          </w:tcPr>
          <w:p>
            <w:pPr>
              <w:spacing w:after="0"/>
              <w:rPr>
                <w:sz w:val="18"/>
                <w:szCs w:val="18"/>
                <w:color w:val="auto"/>
              </w:rPr>
            </w:pPr>
          </w:p>
        </w:tc>
        <w:tc>
          <w:tcPr>
            <w:tcW w:w="934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Schedule II—Valuation and Qualifying Accounts</w:t>
            </w:r>
          </w:p>
        </w:tc>
        <w:tc>
          <w:tcPr>
            <w:tcW w:w="88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00" w:type="dxa"/>
            <w:vAlign w:val="bottom"/>
            <w:tcBorders>
              <w:top w:val="single" w:sz="8" w:color="CCEE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200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44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jc w:val="center"/>
              <w:ind w:left="112"/>
              <w:spacing w:after="0" w:line="135" w:lineRule="exact"/>
              <w:rPr>
                <w:sz w:val="20"/>
                <w:szCs w:val="20"/>
                <w:color w:val="auto"/>
              </w:rPr>
            </w:pPr>
            <w:r>
              <w:rPr>
                <w:rFonts w:ascii="Times New Roman" w:cs="Times New Roman" w:eastAsia="Times New Roman" w:hAnsi="Times New Roman"/>
                <w:sz w:val="14"/>
                <w:szCs w:val="14"/>
                <w:b w:val="1"/>
                <w:bCs w:val="1"/>
                <w:color w:val="auto"/>
              </w:rPr>
              <w:t>Filing</w:t>
            </w:r>
          </w:p>
        </w:tc>
        <w:tc>
          <w:tcPr>
            <w:tcW w:w="2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shd w:val="clear" w:color="auto" w:fill="CCEEFF"/>
          </w:tcPr>
          <w:p>
            <w:pPr>
              <w:spacing w:after="0"/>
              <w:rPr>
                <w:sz w:val="18"/>
                <w:szCs w:val="18"/>
                <w:color w:val="auto"/>
              </w:rPr>
            </w:pPr>
          </w:p>
        </w:tc>
        <w:tc>
          <w:tcPr>
            <w:tcW w:w="9340" w:type="dxa"/>
            <w:vAlign w:val="bottom"/>
            <w:tcBorders>
              <w:top w:val="single" w:sz="8" w:color="CCEEFF"/>
            </w:tcBorders>
            <w:gridSpan w:val="2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93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[Reserved]</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934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w:t>
            </w:r>
          </w:p>
        </w:tc>
        <w:tc>
          <w:tcPr>
            <w:tcW w:w="6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93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[Reserved]</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2.4**</w:t>
            </w:r>
          </w:p>
        </w:tc>
        <w:tc>
          <w:tcPr>
            <w:tcW w:w="934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Tax Matters Agreement among General Electric Company, Transportation Systems Holdings Inc., Westinghouse Air Brake</w:t>
              </w:r>
            </w:hyperlink>
          </w:p>
        </w:tc>
        <w:tc>
          <w:tcPr>
            <w:tcW w:w="880" w:type="dxa"/>
            <w:vAlign w:val="bottom"/>
            <w:tcBorders>
              <w:right w:val="single" w:sz="8" w:color="CCEEFF"/>
            </w:tcBorders>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3740" w:type="dxa"/>
            <w:vAlign w:val="bottom"/>
            <w:tcBorders>
              <w:top w:val="single" w:sz="8" w:color="0000FF"/>
              <w:bottom w:val="single" w:sz="8" w:color="0000FF"/>
            </w:tcBorders>
            <w:gridSpan w:val="5"/>
            <w:shd w:val="clear" w:color="auto" w:fill="CCEEFF"/>
          </w:tcPr>
          <w:p>
            <w:pPr>
              <w:spacing w:after="0" w:line="156" w:lineRule="exact"/>
              <w:rPr>
                <w:rFonts w:ascii="Times New Roman" w:cs="Times New Roman" w:eastAsia="Times New Roman" w:hAnsi="Times New Roman"/>
                <w:sz w:val="18"/>
                <w:szCs w:val="18"/>
                <w:color w:val="0000FF"/>
                <w:w w:val="98"/>
              </w:rPr>
            </w:pPr>
            <w:hyperlink r:id="rId98">
              <w:r>
                <w:rPr>
                  <w:rFonts w:ascii="Times New Roman" w:cs="Times New Roman" w:eastAsia="Times New Roman" w:hAnsi="Times New Roman"/>
                  <w:sz w:val="18"/>
                  <w:szCs w:val="18"/>
                  <w:color w:val="0000FF"/>
                  <w:w w:val="98"/>
                </w:rPr>
                <w:t>Technologies Corporation and Wabtec US Rail, Inc.</w:t>
              </w:r>
            </w:hyperlink>
          </w:p>
        </w:tc>
        <w:tc>
          <w:tcPr>
            <w:tcW w:w="512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9340" w:type="dxa"/>
            <w:vAlign w:val="bottom"/>
            <w:gridSpan w:val="27"/>
          </w:tcPr>
          <w:p>
            <w:pPr>
              <w:spacing w:after="0" w:line="18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Restated Certificate of Incorporation of the Company dated January 30, 1995, as amended December 31, 2003</w:t>
              </w:r>
            </w:hyperlink>
          </w:p>
        </w:tc>
        <w:tc>
          <w:tcPr>
            <w:tcW w:w="8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6260" w:type="dxa"/>
            <w:vAlign w:val="bottom"/>
            <w:tcBorders>
              <w:bottom w:val="single" w:sz="8" w:color="0000FF"/>
            </w:tcBorders>
            <w:gridSpan w:val="9"/>
            <w:shd w:val="clear" w:color="auto" w:fill="CCEEFF"/>
          </w:tcPr>
          <w:p>
            <w:pPr>
              <w:spacing w:after="0" w:line="189"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Certificate of Amendment of Restated Certificate of Incorporation dated May 14, 2013</w:t>
              </w:r>
            </w:hyperlink>
          </w:p>
        </w:tc>
        <w:tc>
          <w:tcPr>
            <w:tcW w:w="3080" w:type="dxa"/>
            <w:vAlign w:val="bottom"/>
            <w:tcBorders>
              <w:bottom w:val="single" w:sz="8" w:color="CCEEFF"/>
            </w:tcBorders>
            <w:gridSpan w:val="18"/>
            <w:shd w:val="clear" w:color="auto" w:fill="CCEEFF"/>
          </w:tcPr>
          <w:p>
            <w:pPr>
              <w:spacing w:after="0"/>
              <w:rPr>
                <w:sz w:val="18"/>
                <w:szCs w:val="18"/>
                <w:color w:val="auto"/>
              </w:rPr>
            </w:pPr>
          </w:p>
        </w:tc>
        <w:tc>
          <w:tcPr>
            <w:tcW w:w="880" w:type="dxa"/>
            <w:vAlign w:val="bottom"/>
            <w:tcBorders>
              <w:bottom w:val="single" w:sz="8" w:color="CCEEFF"/>
              <w:right w:val="single" w:sz="8" w:color="CCEEFF"/>
            </w:tcBorders>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9340" w:type="dxa"/>
            <w:vAlign w:val="bottom"/>
            <w:gridSpan w:val="27"/>
          </w:tcPr>
          <w:p>
            <w:pPr>
              <w:spacing w:after="0" w:line="18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 xml:space="preserve">Amended and Restated By-Laws of the Company, effective </w:t>
              </w:r>
            </w:hyperlink>
            <w:r>
              <w:rPr>
                <w:rFonts w:ascii="Times New Roman" w:cs="Times New Roman" w:eastAsia="Times New Roman" w:hAnsi="Times New Roman"/>
                <w:sz w:val="18"/>
                <w:szCs w:val="18"/>
                <w:color w:val="0000FF"/>
              </w:rPr>
              <w:t>February 10, 2023</w:t>
            </w:r>
          </w:p>
        </w:tc>
        <w:tc>
          <w:tcPr>
            <w:tcW w:w="8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6680" w:type="dxa"/>
            <w:vAlign w:val="bottom"/>
            <w:tcBorders>
              <w:bottom w:val="single" w:sz="8" w:color="0000FF"/>
            </w:tcBorders>
            <w:gridSpan w:val="11"/>
            <w:shd w:val="clear" w:color="auto" w:fill="CCEEFF"/>
          </w:tcPr>
          <w:p>
            <w:pPr>
              <w:spacing w:after="0" w:line="189"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Certificate of Amendment to Restated Certificate of Incorporation dated November 19, 2018</w:t>
              </w:r>
            </w:hyperlink>
          </w:p>
        </w:tc>
        <w:tc>
          <w:tcPr>
            <w:tcW w:w="2660" w:type="dxa"/>
            <w:vAlign w:val="bottom"/>
            <w:tcBorders>
              <w:bottom w:val="single" w:sz="8" w:color="CCEEFF"/>
            </w:tcBorders>
            <w:gridSpan w:val="16"/>
            <w:shd w:val="clear" w:color="auto" w:fill="CCEEFF"/>
          </w:tcPr>
          <w:p>
            <w:pPr>
              <w:spacing w:after="0"/>
              <w:rPr>
                <w:sz w:val="18"/>
                <w:szCs w:val="18"/>
                <w:color w:val="auto"/>
              </w:rPr>
            </w:pPr>
          </w:p>
        </w:tc>
        <w:tc>
          <w:tcPr>
            <w:tcW w:w="880" w:type="dxa"/>
            <w:vAlign w:val="bottom"/>
            <w:tcBorders>
              <w:bottom w:val="single" w:sz="8" w:color="CCEEFF"/>
              <w:right w:val="single" w:sz="8" w:color="CCEEFF"/>
            </w:tcBorders>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9340" w:type="dxa"/>
            <w:vAlign w:val="bottom"/>
            <w:gridSpan w:val="27"/>
          </w:tcPr>
          <w:p>
            <w:pPr>
              <w:spacing w:after="0" w:line="18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Certificate of Designations of Series A Non-Voting Convertible Preferred Stock of Westinghouse Air Brake Technologies</w:t>
              </w:r>
            </w:hyperlink>
          </w:p>
        </w:tc>
        <w:tc>
          <w:tcPr>
            <w:tcW w:w="8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87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Corporation, dated February 22, 2019</w:t>
              </w:r>
            </w:hyperlink>
          </w:p>
        </w:tc>
        <w:tc>
          <w:tcPr>
            <w:tcW w:w="8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8140" w:type="dxa"/>
            <w:vAlign w:val="bottom"/>
            <w:tcBorders>
              <w:bottom w:val="single" w:sz="8" w:color="0000FF"/>
            </w:tcBorders>
            <w:gridSpan w:val="18"/>
            <w:shd w:val="clear" w:color="auto" w:fill="CCEEFF"/>
          </w:tcPr>
          <w:p>
            <w:pPr>
              <w:spacing w:after="0" w:line="189"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Indenture, dated August 8, 2013 by and between the Company and Wells Fargo, National Association, as Trustee</w:t>
              </w:r>
            </w:hyperlink>
          </w:p>
        </w:tc>
        <w:tc>
          <w:tcPr>
            <w:tcW w:w="1200" w:type="dxa"/>
            <w:vAlign w:val="bottom"/>
            <w:tcBorders>
              <w:bottom w:val="single" w:sz="8" w:color="CCEEFF"/>
            </w:tcBorders>
            <w:gridSpan w:val="9"/>
            <w:shd w:val="clear" w:color="auto" w:fill="CCEEFF"/>
          </w:tcPr>
          <w:p>
            <w:pPr>
              <w:spacing w:after="0"/>
              <w:rPr>
                <w:sz w:val="18"/>
                <w:szCs w:val="18"/>
                <w:color w:val="auto"/>
              </w:rPr>
            </w:pPr>
          </w:p>
        </w:tc>
        <w:tc>
          <w:tcPr>
            <w:tcW w:w="880" w:type="dxa"/>
            <w:vAlign w:val="bottom"/>
            <w:tcBorders>
              <w:bottom w:val="single" w:sz="8" w:color="CCEEFF"/>
              <w:right w:val="single" w:sz="8" w:color="CCEEFF"/>
            </w:tcBorders>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9340" w:type="dxa"/>
            <w:vAlign w:val="bottom"/>
            <w:gridSpan w:val="27"/>
          </w:tcPr>
          <w:p>
            <w:pPr>
              <w:spacing w:after="0" w:line="18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First Supplemental Indenture, dated August 8, 2013, by and between the Company and Wells Fargo Bank, National Association,</w:t>
              </w:r>
            </w:hyperlink>
          </w:p>
        </w:tc>
        <w:tc>
          <w:tcPr>
            <w:tcW w:w="8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92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as Trustee</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934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w:t>
            </w:r>
          </w:p>
        </w:tc>
        <w:tc>
          <w:tcPr>
            <w:tcW w:w="6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4.4</w:t>
            </w:r>
          </w:p>
        </w:tc>
        <w:tc>
          <w:tcPr>
            <w:tcW w:w="9340" w:type="dxa"/>
            <w:vAlign w:val="bottom"/>
            <w:gridSpan w:val="27"/>
          </w:tcPr>
          <w:p>
            <w:pPr>
              <w:spacing w:after="0" w:line="189"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Second Supplemental Indenture, dated November 3, 2016, by and among Westinghouse Air Brake Technologies Corporation, the</w:t>
              </w:r>
            </w:hyperlink>
          </w:p>
        </w:tc>
        <w:tc>
          <w:tcPr>
            <w:tcW w:w="8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93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subsidiary guarantors named therein and Wells Fargo Bank, National Association, as Trustee</w:t>
              </w:r>
            </w:hyperlink>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934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Third Supplemental Indenture, dated November 3, 2016, by and among Westinghouse Air Brake Technologies Corporation, the</w:t>
              </w:r>
            </w:hyperlink>
          </w:p>
        </w:tc>
        <w:tc>
          <w:tcPr>
            <w:tcW w:w="880" w:type="dxa"/>
            <w:vAlign w:val="bottom"/>
            <w:tcBorders>
              <w:right w:val="single" w:sz="8" w:color="CCEEFF"/>
            </w:tcBorders>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6680" w:type="dxa"/>
            <w:vAlign w:val="bottom"/>
            <w:tcBorders>
              <w:top w:val="single" w:sz="8" w:color="0000FF"/>
              <w:bottom w:val="single" w:sz="8" w:color="0000FF"/>
            </w:tcBorders>
            <w:gridSpan w:val="11"/>
            <w:shd w:val="clear" w:color="auto" w:fill="CCEEFF"/>
          </w:tcPr>
          <w:p>
            <w:pPr>
              <w:spacing w:after="0" w:line="15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subsidiary guarantors named therein and Wells Fargo Bank, National Association, as Trustee</w:t>
              </w:r>
            </w:hyperlink>
          </w:p>
        </w:tc>
        <w:tc>
          <w:tcPr>
            <w:tcW w:w="2500" w:type="dxa"/>
            <w:vAlign w:val="bottom"/>
            <w:tcBorders>
              <w:top w:val="single" w:sz="8" w:color="0000FF"/>
              <w:bottom w:val="single" w:sz="8" w:color="CCEEFF"/>
            </w:tcBorders>
            <w:gridSpan w:val="13"/>
            <w:shd w:val="clear" w:color="auto" w:fill="CCEEFF"/>
          </w:tcPr>
          <w:p>
            <w:pPr>
              <w:spacing w:after="0"/>
              <w:rPr>
                <w:sz w:val="16"/>
                <w:szCs w:val="16"/>
                <w:color w:val="auto"/>
              </w:rPr>
            </w:pPr>
          </w:p>
        </w:tc>
        <w:tc>
          <w:tcPr>
            <w:tcW w:w="1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9340" w:type="dxa"/>
            <w:vAlign w:val="bottom"/>
            <w:gridSpan w:val="27"/>
          </w:tcPr>
          <w:p>
            <w:pPr>
              <w:spacing w:after="0" w:line="18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of 3.450% Senior Note due 2026 (included in Exhibit 4.5)</w:t>
              </w:r>
            </w:hyperlink>
          </w:p>
        </w:tc>
        <w:tc>
          <w:tcPr>
            <w:tcW w:w="8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4.7</w:t>
            </w:r>
          </w:p>
        </w:tc>
        <w:tc>
          <w:tcPr>
            <w:tcW w:w="934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Fourth Supplemental Indenture, dated February 9, 2017, by and among Westinghouse Air Brake Technologies Corporation, the</w:t>
              </w:r>
            </w:hyperlink>
          </w:p>
        </w:tc>
        <w:tc>
          <w:tcPr>
            <w:tcW w:w="880" w:type="dxa"/>
            <w:vAlign w:val="bottom"/>
            <w:tcBorders>
              <w:right w:val="single" w:sz="8" w:color="CCEEFF"/>
            </w:tcBorders>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6680" w:type="dxa"/>
            <w:vAlign w:val="bottom"/>
            <w:tcBorders>
              <w:top w:val="single" w:sz="8" w:color="0000FF"/>
              <w:bottom w:val="single" w:sz="8" w:color="0000FF"/>
            </w:tcBorders>
            <w:gridSpan w:val="11"/>
            <w:shd w:val="clear" w:color="auto" w:fill="CCEEFF"/>
          </w:tcPr>
          <w:p>
            <w:pPr>
              <w:spacing w:after="0" w:line="15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subsidiary guarantors named therein and Wells Fargo Bank, National Association, as Trustee</w:t>
              </w:r>
            </w:hyperlink>
          </w:p>
        </w:tc>
        <w:tc>
          <w:tcPr>
            <w:tcW w:w="2480" w:type="dxa"/>
            <w:vAlign w:val="bottom"/>
            <w:tcBorders>
              <w:top w:val="single" w:sz="8" w:color="0000FF"/>
              <w:bottom w:val="single" w:sz="8" w:color="CCEEFF"/>
            </w:tcBorders>
            <w:gridSpan w:val="12"/>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9340" w:type="dxa"/>
            <w:vAlign w:val="bottom"/>
            <w:gridSpan w:val="27"/>
          </w:tcPr>
          <w:p>
            <w:pPr>
              <w:spacing w:after="0" w:line="18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Fifth Supplemental Indenture, dated April 28, 2017, by and among Westinghouse Air Brake Technologies Corporation, the</w:t>
              </w:r>
            </w:hyperlink>
          </w:p>
        </w:tc>
        <w:tc>
          <w:tcPr>
            <w:tcW w:w="8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88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subsidiary guarantors named therein and Wells Fargo Bank, National Association, as Trustee</w:t>
              </w:r>
            </w:hyperlink>
          </w:p>
        </w:tc>
        <w:tc>
          <w:tcPr>
            <w:tcW w:w="500" w:type="dxa"/>
            <w:vAlign w:val="bottom"/>
            <w:gridSpan w:val="6"/>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5"/>
        </w:trPr>
        <w:tc>
          <w:tcPr>
            <w:tcW w:w="1000" w:type="dxa"/>
            <w:vAlign w:val="bottom"/>
          </w:tcPr>
          <w:p>
            <w:pPr>
              <w:spacing w:after="0"/>
              <w:rPr>
                <w:sz w:val="24"/>
                <w:szCs w:val="24"/>
                <w:color w:val="auto"/>
              </w:rPr>
            </w:pPr>
          </w:p>
        </w:tc>
        <w:tc>
          <w:tcPr>
            <w:tcW w:w="5640" w:type="dxa"/>
            <w:vAlign w:val="bottom"/>
            <w:tcBorders>
              <w:top w:val="single" w:sz="8" w:color="0000FF"/>
            </w:tcBorders>
            <w:gridSpan w:val="8"/>
          </w:tcPr>
          <w:p>
            <w:pPr>
              <w:ind w:left="4540"/>
              <w:spacing w:after="0"/>
              <w:rPr>
                <w:sz w:val="20"/>
                <w:szCs w:val="20"/>
                <w:color w:val="auto"/>
              </w:rPr>
            </w:pPr>
            <w:r>
              <w:rPr>
                <w:rFonts w:ascii="Times New Roman" w:cs="Times New Roman" w:eastAsia="Times New Roman" w:hAnsi="Times New Roman"/>
                <w:sz w:val="18"/>
                <w:szCs w:val="18"/>
                <w:color w:val="auto"/>
              </w:rPr>
              <w:t>84</w:t>
            </w:r>
          </w:p>
        </w:tc>
        <w:tc>
          <w:tcPr>
            <w:tcW w:w="6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9640" w:type="dxa"/>
            <w:vAlign w:val="bottom"/>
            <w:gridSpan w:val="31"/>
            <w:shd w:val="clear" w:color="auto" w:fill="CCEEFF"/>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Sixth Supplemental Indenture, dated June 21, 2017, by and among Westinghouse Air Brake Technologies Corporation, the</w:t>
              </w:r>
            </w:hyperlink>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7"/>
                <w:szCs w:val="17"/>
                <w:color w:val="auto"/>
              </w:rPr>
            </w:pPr>
          </w:p>
        </w:tc>
      </w:tr>
      <w:tr>
        <w:trPr>
          <w:trHeight w:val="190"/>
        </w:trPr>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6720" w:type="dxa"/>
            <w:vAlign w:val="bottom"/>
            <w:tcBorders>
              <w:top w:val="single" w:sz="8" w:color="0000FF"/>
              <w:bottom w:val="single" w:sz="8" w:color="0000FF"/>
            </w:tcBorders>
            <w:gridSpan w:val="11"/>
            <w:shd w:val="clear" w:color="auto" w:fill="CCEEFF"/>
          </w:tcPr>
          <w:p>
            <w:pPr>
              <w:spacing w:after="0" w:line="156"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subsidiary guarantors named therein and Wells Fargo Bank, National Association, as Trustee.</w:t>
              </w:r>
            </w:hyperlink>
          </w:p>
        </w:tc>
        <w:tc>
          <w:tcPr>
            <w:tcW w:w="2100" w:type="dxa"/>
            <w:vAlign w:val="bottom"/>
            <w:tcBorders>
              <w:top w:val="single" w:sz="8" w:color="0000FF"/>
              <w:bottom w:val="single" w:sz="8" w:color="CCEEFF"/>
            </w:tcBorders>
            <w:gridSpan w:val="7"/>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4.10</w:t>
            </w:r>
          </w:p>
        </w:tc>
        <w:tc>
          <w:tcPr>
            <w:tcW w:w="9640" w:type="dxa"/>
            <w:vAlign w:val="bottom"/>
            <w:gridSpan w:val="31"/>
          </w:tcPr>
          <w:p>
            <w:pPr>
              <w:spacing w:after="0" w:line="18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Seventh Supplemental Indenture, dated June 8, 2018, by and among Westinghouse Air Brake Technologies Corporation, the</w:t>
              </w:r>
            </w:hyperlink>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6"/>
                <w:szCs w:val="16"/>
                <w:color w:val="auto"/>
              </w:rPr>
            </w:pPr>
          </w:p>
        </w:tc>
      </w:tr>
      <w:tr>
        <w:trPr>
          <w:trHeight w:val="156"/>
        </w:trPr>
        <w:tc>
          <w:tcPr>
            <w:tcW w:w="1000" w:type="dxa"/>
            <w:vAlign w:val="bottom"/>
          </w:tcPr>
          <w:p>
            <w:pPr>
              <w:spacing w:after="0"/>
              <w:rPr>
                <w:sz w:val="13"/>
                <w:szCs w:val="13"/>
                <w:color w:val="auto"/>
              </w:rPr>
            </w:pPr>
          </w:p>
        </w:tc>
        <w:tc>
          <w:tcPr>
            <w:tcW w:w="89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subsidiary guarantors named therein and Wells Fargo Bank, National Association, as Trustee</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000" w:type="dxa"/>
            <w:vAlign w:val="bottom"/>
          </w:tcPr>
          <w:p>
            <w:pPr>
              <w:spacing w:after="0"/>
              <w:rPr>
                <w:sz w:val="2"/>
                <w:szCs w:val="2"/>
                <w:color w:val="auto"/>
              </w:rPr>
            </w:pPr>
          </w:p>
        </w:tc>
        <w:tc>
          <w:tcPr>
            <w:tcW w:w="28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4.11</w:t>
            </w:r>
          </w:p>
        </w:tc>
        <w:tc>
          <w:tcPr>
            <w:tcW w:w="9640" w:type="dxa"/>
            <w:vAlign w:val="bottom"/>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Eighth Supplemental Indenture, dated June 29, 2018, by and among Westinghouse Air Brake Technologies Corporation, the</w:t>
              </w:r>
            </w:hyperlink>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6"/>
                <w:szCs w:val="16"/>
                <w:color w:val="auto"/>
              </w:rPr>
            </w:pPr>
          </w:p>
        </w:tc>
      </w:tr>
      <w:tr>
        <w:trPr>
          <w:trHeight w:val="190"/>
        </w:trPr>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6680" w:type="dxa"/>
            <w:vAlign w:val="bottom"/>
            <w:tcBorders>
              <w:top w:val="single" w:sz="8" w:color="0000FF"/>
              <w:bottom w:val="single" w:sz="8" w:color="0000FF"/>
            </w:tcBorders>
            <w:gridSpan w:val="10"/>
            <w:shd w:val="clear" w:color="auto" w:fill="CCEEFF"/>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subsidiary guarantors named therein and Wells Fargo Bank, National Association, as Trustee</w:t>
              </w:r>
            </w:hyperlink>
          </w:p>
        </w:tc>
        <w:tc>
          <w:tcPr>
            <w:tcW w:w="2240" w:type="dxa"/>
            <w:vAlign w:val="bottom"/>
            <w:tcBorders>
              <w:top w:val="single" w:sz="8" w:color="0000FF"/>
              <w:bottom w:val="single" w:sz="8" w:color="CCEEFF"/>
            </w:tcBorders>
            <w:gridSpan w:val="9"/>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4.12</w:t>
            </w:r>
          </w:p>
        </w:tc>
        <w:tc>
          <w:tcPr>
            <w:tcW w:w="9640" w:type="dxa"/>
            <w:vAlign w:val="bottom"/>
            <w:gridSpan w:val="31"/>
          </w:tcPr>
          <w:p>
            <w:pPr>
              <w:spacing w:after="0" w:line="18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Ninth Supplemental Indenture, dated September 14, 2018, by and among the Company, the guarantors party thereto and Wells</w:t>
              </w:r>
            </w:hyperlink>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6"/>
                <w:szCs w:val="16"/>
                <w:color w:val="auto"/>
              </w:rPr>
            </w:pPr>
          </w:p>
        </w:tc>
      </w:tr>
      <w:tr>
        <w:trPr>
          <w:trHeight w:val="156"/>
        </w:trPr>
        <w:tc>
          <w:tcPr>
            <w:tcW w:w="1000" w:type="dxa"/>
            <w:vAlign w:val="bottom"/>
          </w:tcPr>
          <w:p>
            <w:pPr>
              <w:spacing w:after="0"/>
              <w:rPr>
                <w:sz w:val="13"/>
                <w:szCs w:val="13"/>
                <w:color w:val="auto"/>
              </w:rPr>
            </w:pPr>
          </w:p>
        </w:tc>
        <w:tc>
          <w:tcPr>
            <w:tcW w:w="90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Fargo Bank, National Association, as Trustee.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000" w:type="dxa"/>
            <w:vAlign w:val="bottom"/>
          </w:tcPr>
          <w:p>
            <w:pPr>
              <w:spacing w:after="0"/>
              <w:rPr>
                <w:sz w:val="2"/>
                <w:szCs w:val="2"/>
                <w:color w:val="auto"/>
              </w:rPr>
            </w:pPr>
          </w:p>
        </w:tc>
        <w:tc>
          <w:tcPr>
            <w:tcW w:w="28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964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w:t>
            </w: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4.14</w:t>
            </w:r>
          </w:p>
        </w:tc>
        <w:tc>
          <w:tcPr>
            <w:tcW w:w="9640" w:type="dxa"/>
            <w:vAlign w:val="bottom"/>
            <w:gridSpan w:val="31"/>
          </w:tcPr>
          <w:p>
            <w:pPr>
              <w:spacing w:after="0" w:line="18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4.700% Senior Note due 2028 (included in Exhibit 4.12)</w:t>
              </w:r>
            </w:hyperlink>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28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4.15</w:t>
            </w:r>
          </w:p>
        </w:tc>
        <w:tc>
          <w:tcPr>
            <w:tcW w:w="9640" w:type="dxa"/>
            <w:vAlign w:val="bottom"/>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Tenth Supplemental Indenture, dated June 6, 2019, by and among the Company, the guarantors party thereto and Wells Fargo</w:t>
              </w:r>
            </w:hyperlink>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6"/>
                <w:szCs w:val="16"/>
                <w:color w:val="auto"/>
              </w:rPr>
            </w:pPr>
          </w:p>
        </w:tc>
      </w:tr>
      <w:tr>
        <w:trPr>
          <w:trHeight w:val="190"/>
        </w:trPr>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2800" w:type="dxa"/>
            <w:vAlign w:val="bottom"/>
            <w:tcBorders>
              <w:top w:val="single" w:sz="8" w:color="0000FF"/>
              <w:bottom w:val="single" w:sz="8" w:color="0000FF"/>
            </w:tcBorders>
            <w:shd w:val="clear" w:color="auto" w:fill="CCEEFF"/>
          </w:tcPr>
          <w:p>
            <w:pPr>
              <w:spacing w:after="0" w:line="156" w:lineRule="exact"/>
              <w:rPr>
                <w:rFonts w:ascii="Times New Roman" w:cs="Times New Roman" w:eastAsia="Times New Roman" w:hAnsi="Times New Roman"/>
                <w:sz w:val="18"/>
                <w:szCs w:val="18"/>
                <w:color w:val="0000FF"/>
                <w:w w:val="98"/>
              </w:rPr>
            </w:pPr>
            <w:hyperlink r:id="rId116">
              <w:r>
                <w:rPr>
                  <w:rFonts w:ascii="Times New Roman" w:cs="Times New Roman" w:eastAsia="Times New Roman" w:hAnsi="Times New Roman"/>
                  <w:sz w:val="18"/>
                  <w:szCs w:val="18"/>
                  <w:color w:val="0000FF"/>
                  <w:w w:val="98"/>
                </w:rPr>
                <w:t>Bank, National Association, as Trustee</w:t>
              </w:r>
            </w:hyperlink>
          </w:p>
        </w:tc>
        <w:tc>
          <w:tcPr>
            <w:tcW w:w="6240" w:type="dxa"/>
            <w:vAlign w:val="bottom"/>
            <w:tcBorders>
              <w:top w:val="single" w:sz="8" w:color="0000FF"/>
              <w:bottom w:val="single" w:sz="8" w:color="CCEEFF"/>
            </w:tcBorders>
            <w:gridSpan w:val="22"/>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2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4.16</w:t>
            </w:r>
          </w:p>
        </w:tc>
        <w:tc>
          <w:tcPr>
            <w:tcW w:w="9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[Reserved]</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4.17</w:t>
            </w:r>
          </w:p>
        </w:tc>
        <w:tc>
          <w:tcPr>
            <w:tcW w:w="964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w:t>
            </w: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4.18</w:t>
            </w:r>
          </w:p>
        </w:tc>
        <w:tc>
          <w:tcPr>
            <w:tcW w:w="964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00FF"/>
              </w:rPr>
              <w:t>Description of Wabtec Common Stock registered pursuant to Section 12 of the Securities Act of 1934</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r>
      <w:tr>
        <w:trPr>
          <w:trHeight w:val="21"/>
        </w:trPr>
        <w:tc>
          <w:tcPr>
            <w:tcW w:w="1000" w:type="dxa"/>
            <w:vAlign w:val="bottom"/>
          </w:tcPr>
          <w:p>
            <w:pPr>
              <w:spacing w:after="0" w:line="20" w:lineRule="exact"/>
              <w:rPr>
                <w:sz w:val="1"/>
                <w:szCs w:val="1"/>
                <w:color w:val="auto"/>
              </w:rPr>
            </w:pPr>
          </w:p>
        </w:tc>
        <w:tc>
          <w:tcPr>
            <w:tcW w:w="28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4.19</w:t>
            </w:r>
          </w:p>
        </w:tc>
        <w:tc>
          <w:tcPr>
            <w:tcW w:w="9640" w:type="dxa"/>
            <w:vAlign w:val="bottom"/>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Base Indenture, dated as of June 3, 2021, among Wabtec Transportation Netherlands B.V., as issuer, Westinghouse Air Brake</w:t>
              </w:r>
            </w:hyperlink>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6"/>
                <w:szCs w:val="16"/>
                <w:color w:val="auto"/>
              </w:rPr>
            </w:pPr>
          </w:p>
        </w:tc>
      </w:tr>
      <w:tr>
        <w:trPr>
          <w:trHeight w:val="190"/>
        </w:trPr>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6360" w:type="dxa"/>
            <w:vAlign w:val="bottom"/>
            <w:tcBorders>
              <w:top w:val="single" w:sz="8" w:color="0000FF"/>
              <w:bottom w:val="single" w:sz="8" w:color="0000FF"/>
            </w:tcBorders>
            <w:gridSpan w:val="9"/>
            <w:shd w:val="clear" w:color="auto" w:fill="CCEEFF"/>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Technologies Corporation, as guarantor, and U.S. Bank National Association, as Trustee</w:t>
              </w:r>
            </w:hyperlink>
          </w:p>
        </w:tc>
        <w:tc>
          <w:tcPr>
            <w:tcW w:w="2660" w:type="dxa"/>
            <w:vAlign w:val="bottom"/>
            <w:tcBorders>
              <w:top w:val="single" w:sz="8" w:color="0000FF"/>
              <w:bottom w:val="single" w:sz="8" w:color="CCEEFF"/>
            </w:tcBorders>
            <w:gridSpan w:val="13"/>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4.20</w:t>
            </w:r>
          </w:p>
        </w:tc>
        <w:tc>
          <w:tcPr>
            <w:tcW w:w="9640" w:type="dxa"/>
            <w:vAlign w:val="bottom"/>
            <w:gridSpan w:val="31"/>
          </w:tcPr>
          <w:p>
            <w:pPr>
              <w:spacing w:after="0" w:line="18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First Supplemental Indenture, dated as of June 3, 2021, among Wabtec Transportation Netherlands B.V., as issuer, Westinghouse</w:t>
              </w:r>
            </w:hyperlink>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6"/>
                <w:szCs w:val="16"/>
                <w:color w:val="auto"/>
              </w:rPr>
            </w:pPr>
          </w:p>
        </w:tc>
      </w:tr>
      <w:tr>
        <w:trPr>
          <w:trHeight w:val="155"/>
        </w:trPr>
        <w:tc>
          <w:tcPr>
            <w:tcW w:w="1000" w:type="dxa"/>
            <w:vAlign w:val="bottom"/>
          </w:tcPr>
          <w:p>
            <w:pPr>
              <w:spacing w:after="0"/>
              <w:rPr>
                <w:sz w:val="13"/>
                <w:szCs w:val="13"/>
                <w:color w:val="auto"/>
              </w:rPr>
            </w:pPr>
          </w:p>
        </w:tc>
        <w:tc>
          <w:tcPr>
            <w:tcW w:w="92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Air Brake Technologies Corporation, as guarantor, and U.S. Bank National Association, as Trustee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000" w:type="dxa"/>
            <w:vAlign w:val="bottom"/>
          </w:tcPr>
          <w:p>
            <w:pPr>
              <w:spacing w:after="0"/>
              <w:rPr>
                <w:sz w:val="2"/>
                <w:szCs w:val="2"/>
                <w:color w:val="auto"/>
              </w:rPr>
            </w:pPr>
          </w:p>
        </w:tc>
        <w:tc>
          <w:tcPr>
            <w:tcW w:w="28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0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4.21</w:t>
            </w:r>
          </w:p>
        </w:tc>
        <w:tc>
          <w:tcPr>
            <w:tcW w:w="4820" w:type="dxa"/>
            <w:vAlign w:val="bottom"/>
            <w:tcBorders>
              <w:bottom w:val="single" w:sz="8" w:color="0000FF"/>
            </w:tcBorders>
            <w:gridSpan w:val="7"/>
            <w:shd w:val="clear" w:color="auto" w:fill="CCEEFF"/>
          </w:tcPr>
          <w:p>
            <w:pPr>
              <w:spacing w:after="0" w:line="189"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Form of 1.250% Notes due 2027 (included in Exhibit 4.20 hereof).</w:t>
              </w:r>
            </w:hyperlink>
          </w:p>
        </w:tc>
        <w:tc>
          <w:tcPr>
            <w:tcW w:w="4820" w:type="dxa"/>
            <w:vAlign w:val="bottom"/>
            <w:tcBorders>
              <w:bottom w:val="single" w:sz="8" w:color="CCEEFF"/>
            </w:tcBorders>
            <w:gridSpan w:val="24"/>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4.22</w:t>
            </w:r>
          </w:p>
        </w:tc>
        <w:tc>
          <w:tcPr>
            <w:tcW w:w="9000" w:type="dxa"/>
            <w:vAlign w:val="bottom"/>
            <w:tcBorders>
              <w:bottom w:val="single" w:sz="8" w:color="0000FF"/>
            </w:tcBorders>
            <w:gridSpan w:val="21"/>
          </w:tcPr>
          <w:p>
            <w:pPr>
              <w:spacing w:after="0" w:line="189"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Twelfth Supplemental Indenture, dated March 11, 2024, by and among the Company, the subsidiary guarantors party thereto,</w:t>
              </w:r>
            </w:hyperlink>
          </w:p>
        </w:tc>
        <w:tc>
          <w:tcPr>
            <w:tcW w:w="640" w:type="dxa"/>
            <w:vAlign w:val="bottom"/>
            <w:gridSpan w:val="10"/>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6"/>
                <w:szCs w:val="16"/>
                <w:color w:val="auto"/>
              </w:rPr>
            </w:pPr>
          </w:p>
        </w:tc>
      </w:tr>
      <w:tr>
        <w:trPr>
          <w:trHeight w:val="156"/>
        </w:trPr>
        <w:tc>
          <w:tcPr>
            <w:tcW w:w="1000" w:type="dxa"/>
            <w:vAlign w:val="bottom"/>
          </w:tcPr>
          <w:p>
            <w:pPr>
              <w:spacing w:after="0"/>
              <w:rPr>
                <w:sz w:val="13"/>
                <w:szCs w:val="13"/>
                <w:color w:val="auto"/>
              </w:rPr>
            </w:pPr>
          </w:p>
        </w:tc>
        <w:tc>
          <w:tcPr>
            <w:tcW w:w="9640" w:type="dxa"/>
            <w:vAlign w:val="bottom"/>
            <w:gridSpan w:val="31"/>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Computershare Trust Company, National Association (as successor to Wells Fargo Bank, National Association) and U.S. Bank</w:t>
              </w:r>
            </w:hyperlink>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912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Trust Company, National Association, as trustee for the Notes.</w:t>
              </w:r>
            </w:hyperlink>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28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4.23</w:t>
            </w:r>
          </w:p>
        </w:tc>
        <w:tc>
          <w:tcPr>
            <w:tcW w:w="9640" w:type="dxa"/>
            <w:vAlign w:val="bottom"/>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5.611% Senior Note due 2034 (included in Exhibit 4.22).</w:t>
              </w:r>
            </w:hyperlink>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6"/>
                <w:szCs w:val="16"/>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4.24</w:t>
            </w:r>
          </w:p>
        </w:tc>
        <w:tc>
          <w:tcPr>
            <w:tcW w:w="9640" w:type="dxa"/>
            <w:vAlign w:val="bottom"/>
            <w:gridSpan w:val="31"/>
          </w:tcPr>
          <w:p>
            <w:pPr>
              <w:spacing w:after="0" w:line="18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Thirteenth Supplemental Indenture, dated as of May 14, 2025, by and among Westinghouse Air Brake Technologies Corporation,</w:t>
              </w:r>
            </w:hyperlink>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6"/>
                <w:szCs w:val="16"/>
                <w:color w:val="auto"/>
              </w:rPr>
            </w:pPr>
          </w:p>
        </w:tc>
      </w:tr>
      <w:tr>
        <w:trPr>
          <w:trHeight w:val="156"/>
        </w:trPr>
        <w:tc>
          <w:tcPr>
            <w:tcW w:w="1000" w:type="dxa"/>
            <w:vAlign w:val="bottom"/>
          </w:tcPr>
          <w:p>
            <w:pPr>
              <w:spacing w:after="0"/>
              <w:rPr>
                <w:sz w:val="13"/>
                <w:szCs w:val="13"/>
                <w:color w:val="auto"/>
              </w:rPr>
            </w:pPr>
          </w:p>
        </w:tc>
        <w:tc>
          <w:tcPr>
            <w:tcW w:w="932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the subsidiary guarantors party thereto, Computershare Trust Company, National Association (as successor to Wells Fargo Bank,</w:t>
              </w:r>
            </w:hyperlink>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928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National Association) and U.S. Bank Trust Company, National Association.</w:t>
              </w:r>
            </w:hyperlink>
          </w:p>
        </w:tc>
        <w:tc>
          <w:tcPr>
            <w:tcW w:w="36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000" w:type="dxa"/>
            <w:vAlign w:val="bottom"/>
          </w:tcPr>
          <w:p>
            <w:pPr>
              <w:spacing w:after="0" w:line="20" w:lineRule="exact"/>
              <w:rPr>
                <w:sz w:val="1"/>
                <w:szCs w:val="1"/>
                <w:color w:val="auto"/>
              </w:rPr>
            </w:pPr>
          </w:p>
        </w:tc>
        <w:tc>
          <w:tcPr>
            <w:tcW w:w="28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4.25</w:t>
            </w:r>
          </w:p>
        </w:tc>
        <w:tc>
          <w:tcPr>
            <w:tcW w:w="9640" w:type="dxa"/>
            <w:vAlign w:val="bottom"/>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Fourteenth Supplemental Indenture, dated May 29, 2025, by and among the Company, the subsidiary guarantors party thereto,</w:t>
              </w:r>
            </w:hyperlink>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6"/>
                <w:szCs w:val="16"/>
                <w:color w:val="auto"/>
              </w:rPr>
            </w:pPr>
          </w:p>
        </w:tc>
      </w:tr>
      <w:tr>
        <w:trPr>
          <w:trHeight w:val="155"/>
        </w:trPr>
        <w:tc>
          <w:tcPr>
            <w:tcW w:w="1000" w:type="dxa"/>
            <w:vAlign w:val="bottom"/>
            <w:tcBorders>
              <w:top w:val="single" w:sz="8" w:color="CCEEFF"/>
            </w:tcBorders>
            <w:shd w:val="clear" w:color="auto" w:fill="CCEEFF"/>
          </w:tcPr>
          <w:p>
            <w:pPr>
              <w:spacing w:after="0"/>
              <w:rPr>
                <w:sz w:val="13"/>
                <w:szCs w:val="13"/>
                <w:color w:val="auto"/>
              </w:rPr>
            </w:pPr>
          </w:p>
        </w:tc>
        <w:tc>
          <w:tcPr>
            <w:tcW w:w="9100" w:type="dxa"/>
            <w:vAlign w:val="bottom"/>
            <w:tcBorders>
              <w:top w:val="single" w:sz="8" w:color="0000FF"/>
            </w:tcBorders>
            <w:gridSpan w:val="25"/>
            <w:shd w:val="clear" w:color="auto" w:fill="CCEEFF"/>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Computershare Trust Company, National Association (as successor to Wells Fargo Bank, National Association) and U.S. Bank</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500" w:type="dxa"/>
            <w:vAlign w:val="bottom"/>
            <w:tcBorders>
              <w:top w:val="single" w:sz="8" w:color="CCEEFF"/>
            </w:tcBorders>
            <w:gridSpan w:val="4"/>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0" w:type="dxa"/>
            <w:vAlign w:val="bottom"/>
            <w:tcBorders>
              <w:top w:val="single" w:sz="8" w:color="CCEEFF"/>
            </w:tcBorders>
            <w:shd w:val="clear" w:color="auto" w:fill="CCEEFF"/>
          </w:tcPr>
          <w:p>
            <w:pPr>
              <w:spacing w:after="0"/>
              <w:rPr>
                <w:sz w:val="14"/>
                <w:szCs w:val="14"/>
                <w:color w:val="auto"/>
              </w:rPr>
            </w:pPr>
          </w:p>
        </w:tc>
        <w:tc>
          <w:tcPr>
            <w:tcW w:w="9120" w:type="dxa"/>
            <w:vAlign w:val="bottom"/>
            <w:tcBorders>
              <w:top w:val="single" w:sz="8" w:color="0000FF"/>
            </w:tcBorders>
            <w:gridSpan w:val="26"/>
            <w:shd w:val="clear" w:color="auto" w:fill="CCEEFF"/>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Trust Company, National Association, as trustee for the Notes.</w:t>
              </w:r>
            </w:hyperlink>
          </w:p>
        </w:tc>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gridSpan w:val="4"/>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4.26</w:t>
            </w:r>
          </w:p>
        </w:tc>
        <w:tc>
          <w:tcPr>
            <w:tcW w:w="9640" w:type="dxa"/>
            <w:vAlign w:val="bottom"/>
            <w:gridSpan w:val="31"/>
          </w:tcPr>
          <w:p>
            <w:pPr>
              <w:spacing w:after="0" w:line="18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4.900% Senior Note due 2030 (including the Notation of Guarantee) (included in Exhibit 4.25).</w:t>
              </w:r>
            </w:hyperlink>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28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4.27</w:t>
            </w:r>
          </w:p>
        </w:tc>
        <w:tc>
          <w:tcPr>
            <w:tcW w:w="7520" w:type="dxa"/>
            <w:vAlign w:val="bottom"/>
            <w:tcBorders>
              <w:bottom w:val="single" w:sz="8" w:color="0000FF"/>
            </w:tcBorders>
            <w:gridSpan w:val="14"/>
            <w:shd w:val="clear" w:color="auto" w:fill="CCEEFF"/>
          </w:tcPr>
          <w:p>
            <w:pPr>
              <w:spacing w:after="0" w:line="189"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Form of 5.500% Senior Note due 2035 (including the Notation of Guarantee) (included in Exhibit 4.25).</w:t>
              </w:r>
            </w:hyperlink>
          </w:p>
        </w:tc>
        <w:tc>
          <w:tcPr>
            <w:tcW w:w="2120" w:type="dxa"/>
            <w:vAlign w:val="bottom"/>
            <w:tcBorders>
              <w:bottom w:val="single" w:sz="8" w:color="CCEEFF"/>
            </w:tcBorders>
            <w:gridSpan w:val="17"/>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r>
      <w:tr>
        <w:trPr>
          <w:trHeight w:val="175"/>
        </w:trPr>
        <w:tc>
          <w:tcPr>
            <w:tcW w:w="1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96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auto"/>
              </w:rPr>
              <w:t>Agreement of Sale and Purchase of the North American Operations of the Railway Products Group, an operating division of</w:t>
            </w: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r>
      <w:tr>
        <w:trPr>
          <w:trHeight w:val="184"/>
        </w:trPr>
        <w:tc>
          <w:tcPr>
            <w:tcW w:w="1000" w:type="dxa"/>
            <w:vAlign w:val="bottom"/>
          </w:tcPr>
          <w:p>
            <w:pPr>
              <w:spacing w:after="0"/>
              <w:rPr>
                <w:sz w:val="16"/>
                <w:szCs w:val="16"/>
                <w:color w:val="auto"/>
              </w:rPr>
            </w:pPr>
          </w:p>
        </w:tc>
        <w:tc>
          <w:tcPr>
            <w:tcW w:w="9640" w:type="dxa"/>
            <w:vAlign w:val="bottom"/>
            <w:gridSpan w:val="31"/>
          </w:tcPr>
          <w:p>
            <w:pPr>
              <w:spacing w:after="0" w:line="184" w:lineRule="exact"/>
              <w:rPr>
                <w:sz w:val="20"/>
                <w:szCs w:val="20"/>
                <w:color w:val="auto"/>
              </w:rPr>
            </w:pPr>
            <w:r>
              <w:rPr>
                <w:rFonts w:ascii="Times New Roman" w:cs="Times New Roman" w:eastAsia="Times New Roman" w:hAnsi="Times New Roman"/>
                <w:sz w:val="18"/>
                <w:szCs w:val="18"/>
                <w:color w:val="auto"/>
              </w:rPr>
              <w:t>American Standard Inc. (now known as Trane), dated as of 1990 between Rail Acquisition Corp. and American Standard Inc.</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000" w:type="dxa"/>
            <w:vAlign w:val="bottom"/>
          </w:tcPr>
          <w:p>
            <w:pPr>
              <w:spacing w:after="0"/>
              <w:rPr>
                <w:sz w:val="20"/>
                <w:szCs w:val="20"/>
                <w:color w:val="auto"/>
              </w:rPr>
            </w:pPr>
          </w:p>
        </w:tc>
        <w:tc>
          <w:tcPr>
            <w:tcW w:w="9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(only provisions on indemnification are reproduced)</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1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96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Letter Agreement (undated) between the Company and American Standard Inc. (now known as Trane) on environmental costs</w:t>
            </w:r>
          </w:p>
        </w:tc>
        <w:tc>
          <w:tcPr>
            <w:tcW w:w="5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r>
      <w:tr>
        <w:trPr>
          <w:trHeight w:val="243"/>
        </w:trPr>
        <w:tc>
          <w:tcPr>
            <w:tcW w:w="1000" w:type="dxa"/>
            <w:vAlign w:val="bottom"/>
            <w:shd w:val="clear" w:color="auto" w:fill="CCEEFF"/>
          </w:tcPr>
          <w:p>
            <w:pPr>
              <w:spacing w:after="0"/>
              <w:rPr>
                <w:sz w:val="21"/>
                <w:szCs w:val="21"/>
                <w:color w:val="auto"/>
              </w:rPr>
            </w:pPr>
          </w:p>
        </w:tc>
        <w:tc>
          <w:tcPr>
            <w:tcW w:w="964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sharing</w:t>
            </w:r>
          </w:p>
        </w:tc>
        <w:tc>
          <w:tcPr>
            <w:tcW w:w="5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176"/>
        </w:trPr>
        <w:tc>
          <w:tcPr>
            <w:tcW w:w="1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96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auto"/>
              </w:rPr>
              <w:t>Purchase Agreement dated as of June 17, 1992 among the Company, Schuller International, Inc., Manville Corporation and</w:t>
            </w: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r>
      <w:tr>
        <w:trPr>
          <w:trHeight w:val="239"/>
        </w:trPr>
        <w:tc>
          <w:tcPr>
            <w:tcW w:w="1000" w:type="dxa"/>
            <w:vAlign w:val="bottom"/>
          </w:tcPr>
          <w:p>
            <w:pPr>
              <w:spacing w:after="0"/>
              <w:rPr>
                <w:sz w:val="20"/>
                <w:szCs w:val="20"/>
                <w:color w:val="auto"/>
              </w:rPr>
            </w:pPr>
          </w:p>
        </w:tc>
        <w:tc>
          <w:tcPr>
            <w:tcW w:w="96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European Overseas Corporation (only provisions on indemnification are reproduced)</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4"/>
        </w:trPr>
        <w:tc>
          <w:tcPr>
            <w:tcW w:w="100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10.4</w:t>
            </w:r>
          </w:p>
        </w:tc>
        <w:tc>
          <w:tcPr>
            <w:tcW w:w="8740" w:type="dxa"/>
            <w:vAlign w:val="bottom"/>
            <w:tcBorders>
              <w:bottom w:val="single" w:sz="8" w:color="0000FF"/>
            </w:tcBorders>
            <w:gridSpan w:val="17"/>
            <w:shd w:val="clear" w:color="auto" w:fill="CCEEFF"/>
          </w:tcPr>
          <w:p>
            <w:pPr>
              <w:spacing w:after="0" w:line="194"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Westinghouse Air Brake Company 1995 Non-Employee Directors’ Fee and Stock Option Plan, as amended and restated*</w:t>
              </w:r>
            </w:hyperlink>
          </w:p>
        </w:tc>
        <w:tc>
          <w:tcPr>
            <w:tcW w:w="900" w:type="dxa"/>
            <w:vAlign w:val="bottom"/>
            <w:tcBorders>
              <w:bottom w:val="single" w:sz="8" w:color="CCEEFF"/>
            </w:tcBorders>
            <w:gridSpan w:val="14"/>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9640" w:type="dxa"/>
            <w:vAlign w:val="bottom"/>
            <w:gridSpan w:val="31"/>
          </w:tcPr>
          <w:p>
            <w:pPr>
              <w:spacing w:after="0" w:line="18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Westinghouse Air Brake Technologies Corporation 2000 Stock Incentive Plan, as Westinghouse Air Brake Technologies</w:t>
              </w:r>
            </w:hyperlink>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6"/>
                <w:szCs w:val="16"/>
                <w:color w:val="auto"/>
              </w:rPr>
            </w:pPr>
          </w:p>
        </w:tc>
      </w:tr>
      <w:tr>
        <w:trPr>
          <w:trHeight w:val="155"/>
        </w:trPr>
        <w:tc>
          <w:tcPr>
            <w:tcW w:w="1000" w:type="dxa"/>
            <w:vAlign w:val="bottom"/>
          </w:tcPr>
          <w:p>
            <w:pPr>
              <w:spacing w:after="0"/>
              <w:rPr>
                <w:sz w:val="13"/>
                <w:szCs w:val="13"/>
                <w:color w:val="auto"/>
              </w:rPr>
            </w:pPr>
          </w:p>
        </w:tc>
        <w:tc>
          <w:tcPr>
            <w:tcW w:w="86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Corporation 2000 Stock Incentive Plan, as amended * *</w:t>
              </w:r>
            </w:hyperlink>
          </w:p>
        </w:tc>
        <w:tc>
          <w:tcPr>
            <w:tcW w:w="480" w:type="dxa"/>
            <w:vAlign w:val="bottom"/>
            <w:gridSpan w:val="11"/>
          </w:tcPr>
          <w:p>
            <w:pPr>
              <w:spacing w:after="0"/>
              <w:rPr>
                <w:sz w:val="13"/>
                <w:szCs w:val="13"/>
                <w:color w:val="auto"/>
              </w:rPr>
            </w:pPr>
          </w:p>
        </w:tc>
        <w:tc>
          <w:tcPr>
            <w:tcW w:w="500" w:type="dxa"/>
            <w:vAlign w:val="bottom"/>
            <w:gridSpan w:val="4"/>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000" w:type="dxa"/>
            <w:vAlign w:val="bottom"/>
          </w:tcPr>
          <w:p>
            <w:pPr>
              <w:spacing w:after="0"/>
              <w:rPr>
                <w:sz w:val="2"/>
                <w:szCs w:val="2"/>
                <w:color w:val="auto"/>
              </w:rPr>
            </w:pPr>
          </w:p>
        </w:tc>
        <w:tc>
          <w:tcPr>
            <w:tcW w:w="28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0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7900" w:type="dxa"/>
            <w:vAlign w:val="bottom"/>
            <w:tcBorders>
              <w:bottom w:val="single" w:sz="8" w:color="0000FF"/>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Separation Agreement between Wabtec Corporation and Alicia Hammersmith dated as of December 22, 2025</w:t>
            </w:r>
          </w:p>
        </w:tc>
        <w:tc>
          <w:tcPr>
            <w:tcW w:w="1740" w:type="dxa"/>
            <w:vAlign w:val="bottom"/>
            <w:tcBorders>
              <w:bottom w:val="single" w:sz="8" w:color="CCEEFF"/>
            </w:tcBorders>
            <w:gridSpan w:val="16"/>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9640" w:type="dxa"/>
            <w:vAlign w:val="bottom"/>
            <w:gridSpan w:val="31"/>
          </w:tcPr>
          <w:p>
            <w:pPr>
              <w:spacing w:after="0" w:line="18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Restricted Stock Agreement *</w:t>
              </w:r>
            </w:hyperlink>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280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9640" w:type="dxa"/>
            <w:vAlign w:val="bottom"/>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Westinghouse Air Brake Technologies Corporation 2011 Stock Incentive Plan as amended and restated, as of March 31, 2022*</w:t>
              </w:r>
            </w:hyperlink>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864"/>
        </w:trPr>
        <w:tc>
          <w:tcPr>
            <w:tcW w:w="1000" w:type="dxa"/>
            <w:vAlign w:val="bottom"/>
            <w:tcBorders>
              <w:top w:val="single" w:sz="8" w:color="CCEEFF"/>
            </w:tcBorders>
          </w:tcPr>
          <w:p>
            <w:pPr>
              <w:spacing w:after="0"/>
              <w:rPr>
                <w:sz w:val="24"/>
                <w:szCs w:val="24"/>
                <w:color w:val="auto"/>
              </w:rPr>
            </w:pPr>
          </w:p>
        </w:tc>
        <w:tc>
          <w:tcPr>
            <w:tcW w:w="4740" w:type="dxa"/>
            <w:vAlign w:val="bottom"/>
            <w:tcBorders>
              <w:top w:val="single" w:sz="8" w:color="0000FF"/>
            </w:tcBorders>
            <w:gridSpan w:val="6"/>
          </w:tcPr>
          <w:p>
            <w:pPr>
              <w:ind w:left="4540"/>
              <w:spacing w:after="0"/>
              <w:rPr>
                <w:sz w:val="20"/>
                <w:szCs w:val="20"/>
                <w:color w:val="auto"/>
              </w:rPr>
            </w:pPr>
            <w:r>
              <w:rPr>
                <w:rFonts w:ascii="Times New Roman" w:cs="Times New Roman" w:eastAsia="Times New Roman" w:hAnsi="Times New Roman"/>
                <w:sz w:val="18"/>
                <w:szCs w:val="18"/>
                <w:color w:val="auto"/>
                <w:w w:val="99"/>
              </w:rPr>
              <w:t>85</w:t>
            </w:r>
          </w:p>
        </w:tc>
        <w:tc>
          <w:tcPr>
            <w:tcW w:w="8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Pr>
          <w:p>
            <w:pPr>
              <w:spacing w:after="0"/>
              <w:rPr>
                <w:sz w:val="20"/>
                <w:szCs w:val="20"/>
                <w:color w:val="auto"/>
              </w:rPr>
            </w:pPr>
          </w:p>
        </w:tc>
        <w:tc>
          <w:tcPr>
            <w:tcW w:w="96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[Reserved]</w:t>
            </w:r>
          </w:p>
        </w:tc>
        <w:tc>
          <w:tcPr>
            <w:tcW w:w="580" w:type="dxa"/>
            <w:vAlign w:val="bottom"/>
          </w:tcPr>
          <w:p>
            <w:pPr>
              <w:spacing w:after="0"/>
              <w:rPr>
                <w:sz w:val="20"/>
                <w:szCs w:val="20"/>
                <w:color w:val="auto"/>
              </w:rPr>
            </w:pPr>
          </w:p>
        </w:tc>
      </w:tr>
      <w:tr>
        <w:trPr>
          <w:trHeight w:val="210"/>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300" w:type="dxa"/>
            <w:vAlign w:val="bottom"/>
            <w:shd w:val="clear" w:color="auto" w:fill="CCEEFF"/>
          </w:tcPr>
          <w:p>
            <w:pPr>
              <w:spacing w:after="0"/>
              <w:rPr>
                <w:sz w:val="18"/>
                <w:szCs w:val="18"/>
                <w:color w:val="auto"/>
              </w:rPr>
            </w:pPr>
          </w:p>
        </w:tc>
        <w:tc>
          <w:tcPr>
            <w:tcW w:w="964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Employment Continuation Agreement entered into by the Company with Michael E. Fetsko and John A Mastalerz Jr.*</w:t>
              </w:r>
            </w:hyperlink>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189"/>
        </w:trPr>
        <w:tc>
          <w:tcPr>
            <w:tcW w:w="70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300" w:type="dxa"/>
            <w:vAlign w:val="bottom"/>
            <w:tcBorders>
              <w:top w:val="single" w:sz="8" w:color="CCEEFF"/>
            </w:tcBorders>
          </w:tcPr>
          <w:p>
            <w:pPr>
              <w:spacing w:after="0"/>
              <w:rPr>
                <w:sz w:val="16"/>
                <w:szCs w:val="16"/>
                <w:color w:val="auto"/>
              </w:rPr>
            </w:pPr>
          </w:p>
        </w:tc>
        <w:tc>
          <w:tcPr>
            <w:tcW w:w="9160" w:type="dxa"/>
            <w:vAlign w:val="bottom"/>
            <w:tcBorders>
              <w:top w:val="single" w:sz="8" w:color="0000FF"/>
            </w:tcBorders>
            <w:gridSpan w:val="20"/>
          </w:tcPr>
          <w:p>
            <w:pPr>
              <w:spacing w:after="0" w:line="18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Wabtec Corporation Deferred Compensation Plan for Executive Officers and Directors as adopted December 10, 2009 *</w:t>
              </w:r>
            </w:hyperlink>
          </w:p>
        </w:tc>
        <w:tc>
          <w:tcPr>
            <w:tcW w:w="480" w:type="dxa"/>
            <w:vAlign w:val="bottom"/>
            <w:tcBorders>
              <w:top w:val="single" w:sz="8" w:color="CCEEFF"/>
            </w:tcBorders>
            <w:gridSpan w:val="2"/>
          </w:tcPr>
          <w:p>
            <w:pPr>
              <w:spacing w:after="0"/>
              <w:rPr>
                <w:sz w:val="16"/>
                <w:szCs w:val="16"/>
                <w:color w:val="auto"/>
              </w:rPr>
            </w:pPr>
          </w:p>
        </w:tc>
        <w:tc>
          <w:tcPr>
            <w:tcW w:w="5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r>
      <w:tr>
        <w:trPr>
          <w:trHeight w:val="21"/>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9"/>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300" w:type="dxa"/>
            <w:vAlign w:val="bottom"/>
            <w:shd w:val="clear" w:color="auto" w:fill="CCEEFF"/>
          </w:tcPr>
          <w:p>
            <w:pPr>
              <w:spacing w:after="0"/>
              <w:rPr>
                <w:sz w:val="16"/>
                <w:szCs w:val="16"/>
                <w:color w:val="auto"/>
              </w:rPr>
            </w:pPr>
          </w:p>
        </w:tc>
        <w:tc>
          <w:tcPr>
            <w:tcW w:w="964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Agreement for Nonstatutory Stock Option under the 1995 Non-Employee Directors’ Fee and Stock Option Plan, as</w:t>
              </w:r>
            </w:hyperlink>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r>
      <w:tr>
        <w:trPr>
          <w:trHeight w:val="156"/>
        </w:trPr>
        <w:tc>
          <w:tcPr>
            <w:tcW w:w="7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8920" w:type="dxa"/>
            <w:vAlign w:val="bottom"/>
            <w:tcBorders>
              <w:top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amended and restated*</w:t>
              </w:r>
            </w:hyperlink>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gridSpan w:val="2"/>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r>
      <w:tr>
        <w:trPr>
          <w:trHeight w:val="189"/>
        </w:trPr>
        <w:tc>
          <w:tcPr>
            <w:tcW w:w="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300" w:type="dxa"/>
            <w:vAlign w:val="bottom"/>
          </w:tcPr>
          <w:p>
            <w:pPr>
              <w:spacing w:after="0"/>
              <w:rPr>
                <w:sz w:val="16"/>
                <w:szCs w:val="16"/>
                <w:color w:val="auto"/>
              </w:rPr>
            </w:pPr>
          </w:p>
        </w:tc>
        <w:tc>
          <w:tcPr>
            <w:tcW w:w="9640" w:type="dxa"/>
            <w:vAlign w:val="bottom"/>
            <w:gridSpan w:val="22"/>
          </w:tcPr>
          <w:p>
            <w:pPr>
              <w:spacing w:after="0" w:line="18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Agreement for Nonstatutory Stock Options under 2000 Stock Incentive Plan, as amended *</w:t>
              </w:r>
            </w:hyperlink>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r>
      <w:tr>
        <w:trPr>
          <w:trHeight w:val="21"/>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9"/>
        </w:trPr>
        <w:tc>
          <w:tcPr>
            <w:tcW w:w="7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300" w:type="dxa"/>
            <w:vAlign w:val="bottom"/>
            <w:tcBorders>
              <w:bottom w:val="single" w:sz="8" w:color="CCEEFF"/>
            </w:tcBorders>
            <w:shd w:val="clear" w:color="auto" w:fill="CCEEFF"/>
          </w:tcPr>
          <w:p>
            <w:pPr>
              <w:spacing w:after="0"/>
              <w:rPr>
                <w:sz w:val="18"/>
                <w:szCs w:val="18"/>
                <w:color w:val="auto"/>
              </w:rPr>
            </w:pPr>
          </w:p>
        </w:tc>
        <w:tc>
          <w:tcPr>
            <w:tcW w:w="8020" w:type="dxa"/>
            <w:vAlign w:val="bottom"/>
            <w:tcBorders>
              <w:bottom w:val="single" w:sz="8" w:color="0000FF"/>
            </w:tcBorders>
            <w:gridSpan w:val="14"/>
            <w:shd w:val="clear" w:color="auto" w:fill="CCEEFF"/>
          </w:tcPr>
          <w:p>
            <w:pPr>
              <w:spacing w:after="0" w:line="189"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Form of Agreement for Nonstatutory Stock Options under 2011 Stock Incentive Plan as amended and restated*</w:t>
              </w:r>
            </w:hyperlink>
          </w:p>
        </w:tc>
        <w:tc>
          <w:tcPr>
            <w:tcW w:w="1620" w:type="dxa"/>
            <w:vAlign w:val="bottom"/>
            <w:tcBorders>
              <w:bottom w:val="single" w:sz="8" w:color="CCEEFF"/>
            </w:tcBorders>
            <w:gridSpan w:val="8"/>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r>
      <w:tr>
        <w:trPr>
          <w:trHeight w:val="229"/>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300" w:type="dxa"/>
            <w:vAlign w:val="bottom"/>
          </w:tcPr>
          <w:p>
            <w:pPr>
              <w:spacing w:after="0"/>
              <w:rPr>
                <w:sz w:val="19"/>
                <w:szCs w:val="19"/>
                <w:color w:val="auto"/>
              </w:rPr>
            </w:pPr>
          </w:p>
        </w:tc>
        <w:tc>
          <w:tcPr>
            <w:tcW w:w="96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[Reserved]</w:t>
            </w:r>
          </w:p>
        </w:tc>
        <w:tc>
          <w:tcPr>
            <w:tcW w:w="580" w:type="dxa"/>
            <w:vAlign w:val="bottom"/>
          </w:tcPr>
          <w:p>
            <w:pPr>
              <w:spacing w:after="0"/>
              <w:rPr>
                <w:sz w:val="19"/>
                <w:szCs w:val="19"/>
                <w:color w:val="auto"/>
              </w:rPr>
            </w:pPr>
          </w:p>
        </w:tc>
      </w:tr>
      <w:tr>
        <w:trPr>
          <w:trHeight w:val="210"/>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10.16</w:t>
            </w:r>
          </w:p>
        </w:tc>
        <w:tc>
          <w:tcPr>
            <w:tcW w:w="300" w:type="dxa"/>
            <w:vAlign w:val="bottom"/>
            <w:shd w:val="clear" w:color="auto" w:fill="CCEEFF"/>
          </w:tcPr>
          <w:p>
            <w:pPr>
              <w:spacing w:after="0"/>
              <w:rPr>
                <w:sz w:val="18"/>
                <w:szCs w:val="18"/>
                <w:color w:val="auto"/>
              </w:rPr>
            </w:pPr>
          </w:p>
        </w:tc>
        <w:tc>
          <w:tcPr>
            <w:tcW w:w="964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Letter of Offer of Employment with Nicole Theophilus, dated July 9, 2024*</w:t>
              </w:r>
            </w:hyperlink>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r>
      <w:tr>
        <w:trPr>
          <w:trHeight w:val="229"/>
        </w:trPr>
        <w:tc>
          <w:tcPr>
            <w:tcW w:w="7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300" w:type="dxa"/>
            <w:vAlign w:val="bottom"/>
            <w:tcBorders>
              <w:top w:val="single" w:sz="8" w:color="CCEEFF"/>
            </w:tcBorders>
          </w:tcPr>
          <w:p>
            <w:pPr>
              <w:spacing w:after="0"/>
              <w:rPr>
                <w:sz w:val="19"/>
                <w:szCs w:val="19"/>
                <w:color w:val="auto"/>
              </w:rPr>
            </w:pPr>
          </w:p>
        </w:tc>
        <w:tc>
          <w:tcPr>
            <w:tcW w:w="54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auto"/>
              </w:rPr>
              <w:t>[Reserved]</w:t>
            </w:r>
          </w:p>
        </w:tc>
        <w:tc>
          <w:tcPr>
            <w:tcW w:w="4180" w:type="dxa"/>
            <w:vAlign w:val="bottom"/>
            <w:tcBorders>
              <w:top w:val="single" w:sz="8" w:color="CCEEFF"/>
            </w:tcBorders>
            <w:gridSpan w:val="11"/>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r>
      <w:tr>
        <w:trPr>
          <w:trHeight w:val="189"/>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10.18</w:t>
            </w:r>
          </w:p>
        </w:tc>
        <w:tc>
          <w:tcPr>
            <w:tcW w:w="300" w:type="dxa"/>
            <w:vAlign w:val="bottom"/>
            <w:shd w:val="clear" w:color="auto" w:fill="CCEEFF"/>
          </w:tcPr>
          <w:p>
            <w:pPr>
              <w:spacing w:after="0"/>
              <w:rPr>
                <w:sz w:val="16"/>
                <w:szCs w:val="16"/>
                <w:color w:val="auto"/>
              </w:rPr>
            </w:pPr>
          </w:p>
        </w:tc>
        <w:tc>
          <w:tcPr>
            <w:tcW w:w="964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Severance and Employment Continuation Agreement entered into by the Company with John Olin, David DeNinno,</w:t>
              </w:r>
            </w:hyperlink>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w:t>
            </w:r>
          </w:p>
        </w:tc>
      </w:tr>
      <w:tr>
        <w:trPr>
          <w:trHeight w:val="189"/>
        </w:trPr>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4220" w:type="dxa"/>
            <w:vAlign w:val="bottom"/>
            <w:tcBorders>
              <w:top w:val="single" w:sz="8" w:color="0000FF"/>
              <w:bottom w:val="single" w:sz="8" w:color="0000FF"/>
            </w:tcBorders>
            <w:gridSpan w:val="8"/>
            <w:shd w:val="clear" w:color="auto" w:fill="CCEEFF"/>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Pascal Schweitzer, Eric Gebhardt, and Nicole Theophilus*</w:t>
              </w:r>
            </w:hyperlink>
          </w:p>
        </w:tc>
        <w:tc>
          <w:tcPr>
            <w:tcW w:w="4780" w:type="dxa"/>
            <w:vAlign w:val="bottom"/>
            <w:tcBorders>
              <w:top w:val="single" w:sz="8" w:color="0000FF"/>
              <w:bottom w:val="single" w:sz="8" w:color="CCEEFF"/>
            </w:tcBorders>
            <w:gridSpan w:val="10"/>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10.19</w:t>
            </w:r>
          </w:p>
        </w:tc>
        <w:tc>
          <w:tcPr>
            <w:tcW w:w="300" w:type="dxa"/>
            <w:vAlign w:val="bottom"/>
          </w:tcPr>
          <w:p>
            <w:pPr>
              <w:spacing w:after="0"/>
              <w:rPr>
                <w:sz w:val="16"/>
                <w:szCs w:val="16"/>
                <w:color w:val="auto"/>
              </w:rPr>
            </w:pPr>
          </w:p>
        </w:tc>
        <w:tc>
          <w:tcPr>
            <w:tcW w:w="9640" w:type="dxa"/>
            <w:vAlign w:val="bottom"/>
            <w:gridSpan w:val="22"/>
          </w:tcPr>
          <w:p>
            <w:pPr>
              <w:spacing w:after="0" w:line="18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Westinghouse Air Brake Technologies Corporation Deferred Compensation Plan for Executives, dated October 21, 2021</w:t>
              </w:r>
            </w:hyperlink>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w:t>
            </w:r>
          </w:p>
        </w:tc>
      </w:tr>
      <w:tr>
        <w:trPr>
          <w:trHeight w:val="21"/>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9"/>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300" w:type="dxa"/>
            <w:vAlign w:val="bottom"/>
            <w:shd w:val="clear" w:color="auto" w:fill="CCEEFF"/>
          </w:tcPr>
          <w:p>
            <w:pPr>
              <w:spacing w:after="0"/>
              <w:rPr>
                <w:sz w:val="19"/>
                <w:szCs w:val="19"/>
                <w:color w:val="auto"/>
              </w:rPr>
            </w:pPr>
          </w:p>
        </w:tc>
        <w:tc>
          <w:tcPr>
            <w:tcW w:w="96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w:t>
            </w:r>
          </w:p>
        </w:tc>
        <w:tc>
          <w:tcPr>
            <w:tcW w:w="580" w:type="dxa"/>
            <w:vAlign w:val="bottom"/>
            <w:shd w:val="clear" w:color="auto" w:fill="CCEEFF"/>
          </w:tcPr>
          <w:p>
            <w:pPr>
              <w:spacing w:after="0"/>
              <w:rPr>
                <w:sz w:val="19"/>
                <w:szCs w:val="19"/>
                <w:color w:val="auto"/>
              </w:rPr>
            </w:pPr>
          </w:p>
        </w:tc>
      </w:tr>
      <w:tr>
        <w:trPr>
          <w:trHeight w:val="230"/>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300" w:type="dxa"/>
            <w:vAlign w:val="bottom"/>
          </w:tcPr>
          <w:p>
            <w:pPr>
              <w:spacing w:after="0"/>
              <w:rPr>
                <w:sz w:val="19"/>
                <w:szCs w:val="19"/>
                <w:color w:val="auto"/>
              </w:rPr>
            </w:pPr>
          </w:p>
        </w:tc>
        <w:tc>
          <w:tcPr>
            <w:tcW w:w="96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[Reserved]</w:t>
            </w:r>
          </w:p>
        </w:tc>
        <w:tc>
          <w:tcPr>
            <w:tcW w:w="580" w:type="dxa"/>
            <w:vAlign w:val="bottom"/>
          </w:tcPr>
          <w:p>
            <w:pPr>
              <w:spacing w:after="0"/>
              <w:rPr>
                <w:sz w:val="19"/>
                <w:szCs w:val="19"/>
                <w:color w:val="auto"/>
              </w:rPr>
            </w:pPr>
          </w:p>
        </w:tc>
      </w:tr>
      <w:tr>
        <w:trPr>
          <w:trHeight w:val="209"/>
        </w:trPr>
        <w:tc>
          <w:tcPr>
            <w:tcW w:w="7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10.22</w:t>
            </w:r>
          </w:p>
        </w:tc>
        <w:tc>
          <w:tcPr>
            <w:tcW w:w="300" w:type="dxa"/>
            <w:vAlign w:val="bottom"/>
            <w:tcBorders>
              <w:bottom w:val="single" w:sz="8" w:color="CCEEFF"/>
            </w:tcBorders>
            <w:shd w:val="clear" w:color="auto" w:fill="CCEEFF"/>
          </w:tcPr>
          <w:p>
            <w:pPr>
              <w:spacing w:after="0"/>
              <w:rPr>
                <w:sz w:val="18"/>
                <w:szCs w:val="18"/>
                <w:color w:val="auto"/>
              </w:rPr>
            </w:pPr>
          </w:p>
        </w:tc>
        <w:tc>
          <w:tcPr>
            <w:tcW w:w="7460" w:type="dxa"/>
            <w:vAlign w:val="bottom"/>
            <w:tcBorders>
              <w:bottom w:val="single" w:sz="8" w:color="0000FF"/>
            </w:tcBorders>
            <w:gridSpan w:val="13"/>
            <w:shd w:val="clear" w:color="auto" w:fill="CCEEFF"/>
          </w:tcPr>
          <w:p>
            <w:pPr>
              <w:spacing w:after="0" w:line="189"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Severance and Employment Continuation Agreement of Rafael Santana dated as of December 5, 2022*</w:t>
              </w:r>
            </w:hyperlink>
          </w:p>
        </w:tc>
        <w:tc>
          <w:tcPr>
            <w:tcW w:w="2180" w:type="dxa"/>
            <w:vAlign w:val="bottom"/>
            <w:tcBorders>
              <w:bottom w:val="single" w:sz="8" w:color="CCEEFF"/>
            </w:tcBorders>
            <w:gridSpan w:val="9"/>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w:t>
            </w:r>
          </w:p>
        </w:tc>
      </w:tr>
      <w:tr>
        <w:trPr>
          <w:trHeight w:val="229"/>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300" w:type="dxa"/>
            <w:vAlign w:val="bottom"/>
          </w:tcPr>
          <w:p>
            <w:pPr>
              <w:spacing w:after="0"/>
              <w:rPr>
                <w:sz w:val="19"/>
                <w:szCs w:val="19"/>
                <w:color w:val="auto"/>
              </w:rPr>
            </w:pPr>
          </w:p>
        </w:tc>
        <w:tc>
          <w:tcPr>
            <w:tcW w:w="96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[Reserved]</w:t>
            </w:r>
          </w:p>
        </w:tc>
        <w:tc>
          <w:tcPr>
            <w:tcW w:w="580" w:type="dxa"/>
            <w:vAlign w:val="bottom"/>
          </w:tcPr>
          <w:p>
            <w:pPr>
              <w:spacing w:after="0"/>
              <w:rPr>
                <w:sz w:val="19"/>
                <w:szCs w:val="19"/>
                <w:color w:val="auto"/>
              </w:rPr>
            </w:pPr>
          </w:p>
        </w:tc>
      </w:tr>
      <w:tr>
        <w:trPr>
          <w:trHeight w:val="230"/>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300" w:type="dxa"/>
            <w:vAlign w:val="bottom"/>
            <w:shd w:val="clear" w:color="auto" w:fill="CCEEFF"/>
          </w:tcPr>
          <w:p>
            <w:pPr>
              <w:spacing w:after="0"/>
              <w:rPr>
                <w:sz w:val="19"/>
                <w:szCs w:val="19"/>
                <w:color w:val="auto"/>
              </w:rPr>
            </w:pPr>
          </w:p>
        </w:tc>
        <w:tc>
          <w:tcPr>
            <w:tcW w:w="96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w:t>
            </w:r>
          </w:p>
        </w:tc>
        <w:tc>
          <w:tcPr>
            <w:tcW w:w="580" w:type="dxa"/>
            <w:vAlign w:val="bottom"/>
            <w:shd w:val="clear" w:color="auto" w:fill="CCEEFF"/>
          </w:tcPr>
          <w:p>
            <w:pPr>
              <w:spacing w:after="0"/>
              <w:rPr>
                <w:sz w:val="19"/>
                <w:szCs w:val="19"/>
                <w:color w:val="auto"/>
              </w:rPr>
            </w:pPr>
          </w:p>
        </w:tc>
      </w:tr>
      <w:tr>
        <w:trPr>
          <w:trHeight w:val="229"/>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300" w:type="dxa"/>
            <w:vAlign w:val="bottom"/>
          </w:tcPr>
          <w:p>
            <w:pPr>
              <w:spacing w:after="0"/>
              <w:rPr>
                <w:sz w:val="19"/>
                <w:szCs w:val="19"/>
                <w:color w:val="auto"/>
              </w:rPr>
            </w:pPr>
          </w:p>
        </w:tc>
        <w:tc>
          <w:tcPr>
            <w:tcW w:w="96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[Reserved]</w:t>
            </w:r>
          </w:p>
        </w:tc>
        <w:tc>
          <w:tcPr>
            <w:tcW w:w="580" w:type="dxa"/>
            <w:vAlign w:val="bottom"/>
          </w:tcPr>
          <w:p>
            <w:pPr>
              <w:spacing w:after="0"/>
              <w:rPr>
                <w:sz w:val="19"/>
                <w:szCs w:val="19"/>
                <w:color w:val="auto"/>
              </w:rPr>
            </w:pPr>
          </w:p>
        </w:tc>
      </w:tr>
      <w:tr>
        <w:trPr>
          <w:trHeight w:val="189"/>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10.26</w:t>
            </w:r>
          </w:p>
        </w:tc>
        <w:tc>
          <w:tcPr>
            <w:tcW w:w="300" w:type="dxa"/>
            <w:vAlign w:val="bottom"/>
            <w:shd w:val="clear" w:color="auto" w:fill="CCEEFF"/>
          </w:tcPr>
          <w:p>
            <w:pPr>
              <w:spacing w:after="0"/>
              <w:rPr>
                <w:sz w:val="16"/>
                <w:szCs w:val="16"/>
                <w:color w:val="auto"/>
              </w:rPr>
            </w:pPr>
          </w:p>
        </w:tc>
        <w:tc>
          <w:tcPr>
            <w:tcW w:w="9640" w:type="dxa"/>
            <w:vAlign w:val="bottom"/>
            <w:gridSpan w:val="22"/>
            <w:shd w:val="clear" w:color="auto" w:fill="CCEEFF"/>
          </w:tcPr>
          <w:p>
            <w:pPr>
              <w:spacing w:after="0" w:line="18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Amended and Restated Credit Agreement, dated as of April 23, 2025, among Westinghouse Air Brake Technologies Corporation,</w:t>
              </w:r>
            </w:hyperlink>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38</w:t>
            </w:r>
          </w:p>
        </w:tc>
      </w:tr>
      <w:tr>
        <w:trPr>
          <w:trHeight w:val="155"/>
        </w:trPr>
        <w:tc>
          <w:tcPr>
            <w:tcW w:w="7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320" w:type="dxa"/>
            <w:vAlign w:val="bottom"/>
            <w:tcBorders>
              <w:top w:val="single" w:sz="8" w:color="0000FF"/>
            </w:tcBorders>
            <w:gridSpan w:val="21"/>
            <w:shd w:val="clear" w:color="auto" w:fill="CCEEFF"/>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Wabtec Transportation Netherlands B.V. and the other borrowing subsidiaries party thereto, the lenders party thereto and PNC</w:t>
              </w:r>
            </w:hyperlink>
          </w:p>
        </w:tc>
        <w:tc>
          <w:tcPr>
            <w:tcW w:w="3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r>
      <w:tr>
        <w:trPr>
          <w:trHeight w:val="190"/>
        </w:trPr>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3740" w:type="dxa"/>
            <w:vAlign w:val="bottom"/>
            <w:tcBorders>
              <w:top w:val="single" w:sz="8" w:color="0000FF"/>
              <w:bottom w:val="single" w:sz="8" w:color="0000FF"/>
            </w:tcBorders>
            <w:gridSpan w:val="7"/>
            <w:shd w:val="clear" w:color="auto" w:fill="CCEEFF"/>
          </w:tcPr>
          <w:p>
            <w:pPr>
              <w:spacing w:after="0" w:line="169"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Bank, National Association as administrative agent.</w:t>
              </w:r>
            </w:hyperlink>
          </w:p>
        </w:tc>
        <w:tc>
          <w:tcPr>
            <w:tcW w:w="5340" w:type="dxa"/>
            <w:vAlign w:val="bottom"/>
            <w:tcBorders>
              <w:top w:val="single" w:sz="8" w:color="0000FF"/>
              <w:bottom w:val="single" w:sz="8" w:color="CCEEFF"/>
            </w:tcBorders>
            <w:gridSpan w:val="12"/>
            <w:shd w:val="clear" w:color="auto" w:fill="CCEEFF"/>
          </w:tcPr>
          <w:p>
            <w:pPr>
              <w:spacing w:after="0"/>
              <w:rPr>
                <w:sz w:val="16"/>
                <w:szCs w:val="16"/>
                <w:color w:val="auto"/>
              </w:rPr>
            </w:pPr>
          </w:p>
        </w:tc>
        <w:tc>
          <w:tcPr>
            <w:tcW w:w="5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19.1</w:t>
            </w:r>
          </w:p>
        </w:tc>
        <w:tc>
          <w:tcPr>
            <w:tcW w:w="300" w:type="dxa"/>
            <w:vAlign w:val="bottom"/>
          </w:tcPr>
          <w:p>
            <w:pPr>
              <w:spacing w:after="0"/>
              <w:rPr>
                <w:sz w:val="16"/>
                <w:szCs w:val="16"/>
                <w:color w:val="auto"/>
              </w:rPr>
            </w:pPr>
          </w:p>
        </w:tc>
        <w:tc>
          <w:tcPr>
            <w:tcW w:w="964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Wabtec Corporation Insider Trading Policy dated April 2, 2025</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7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21.0</w:t>
            </w:r>
          </w:p>
        </w:tc>
        <w:tc>
          <w:tcPr>
            <w:tcW w:w="300" w:type="dxa"/>
            <w:vAlign w:val="bottom"/>
            <w:tcBorders>
              <w:bottom w:val="single" w:sz="8" w:color="CCEEFF"/>
            </w:tcBorders>
            <w:shd w:val="clear" w:color="auto" w:fill="CCEEFF"/>
          </w:tcPr>
          <w:p>
            <w:pPr>
              <w:spacing w:after="0"/>
              <w:rPr>
                <w:sz w:val="18"/>
                <w:szCs w:val="18"/>
                <w:color w:val="auto"/>
              </w:rPr>
            </w:pPr>
          </w:p>
        </w:tc>
        <w:tc>
          <w:tcPr>
            <w:tcW w:w="2580" w:type="dxa"/>
            <w:vAlign w:val="bottom"/>
            <w:tcBorders>
              <w:bottom w:val="single" w:sz="8" w:color="0000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List of subsidiaries of the Company</w:t>
            </w:r>
          </w:p>
        </w:tc>
        <w:tc>
          <w:tcPr>
            <w:tcW w:w="7060" w:type="dxa"/>
            <w:vAlign w:val="bottom"/>
            <w:tcBorders>
              <w:bottom w:val="single" w:sz="8" w:color="CCEEFF"/>
            </w:tcBorders>
            <w:gridSpan w:val="17"/>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189"/>
        </w:trPr>
        <w:tc>
          <w:tcPr>
            <w:tcW w:w="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22.0</w:t>
            </w:r>
          </w:p>
        </w:tc>
        <w:tc>
          <w:tcPr>
            <w:tcW w:w="300" w:type="dxa"/>
            <w:vAlign w:val="bottom"/>
          </w:tcPr>
          <w:p>
            <w:pPr>
              <w:spacing w:after="0"/>
              <w:rPr>
                <w:sz w:val="16"/>
                <w:szCs w:val="16"/>
                <w:color w:val="auto"/>
              </w:rPr>
            </w:pPr>
          </w:p>
        </w:tc>
        <w:tc>
          <w:tcPr>
            <w:tcW w:w="964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List of Subsidiary Guarantors</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7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30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Consent of Ernst &amp; Young LLP</w:t>
            </w:r>
          </w:p>
        </w:tc>
        <w:tc>
          <w:tcPr>
            <w:tcW w:w="7360" w:type="dxa"/>
            <w:vAlign w:val="bottom"/>
            <w:tcBorders>
              <w:bottom w:val="single" w:sz="8" w:color="CCEEFF"/>
            </w:tcBorders>
            <w:gridSpan w:val="18"/>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189"/>
        </w:trPr>
        <w:tc>
          <w:tcPr>
            <w:tcW w:w="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16"/>
                <w:szCs w:val="16"/>
                <w:color w:val="auto"/>
              </w:rPr>
            </w:pPr>
          </w:p>
        </w:tc>
        <w:tc>
          <w:tcPr>
            <w:tcW w:w="964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Certifications</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300" w:type="dxa"/>
            <w:vAlign w:val="bottom"/>
            <w:shd w:val="clear" w:color="auto" w:fill="CCEEFF"/>
          </w:tcPr>
          <w:p>
            <w:pPr>
              <w:spacing w:after="0"/>
              <w:rPr>
                <w:sz w:val="18"/>
                <w:szCs w:val="18"/>
                <w:color w:val="auto"/>
              </w:rPr>
            </w:pPr>
          </w:p>
        </w:tc>
        <w:tc>
          <w:tcPr>
            <w:tcW w:w="964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Certifications</w:t>
            </w: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189"/>
        </w:trPr>
        <w:tc>
          <w:tcPr>
            <w:tcW w:w="70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300" w:type="dxa"/>
            <w:vAlign w:val="bottom"/>
            <w:tcBorders>
              <w:top w:val="single" w:sz="8" w:color="CCEEFF"/>
            </w:tcBorders>
          </w:tcPr>
          <w:p>
            <w:pPr>
              <w:spacing w:after="0"/>
              <w:rPr>
                <w:sz w:val="16"/>
                <w:szCs w:val="16"/>
                <w:color w:val="auto"/>
              </w:rPr>
            </w:pPr>
          </w:p>
        </w:tc>
        <w:tc>
          <w:tcPr>
            <w:tcW w:w="2860" w:type="dxa"/>
            <w:vAlign w:val="bottom"/>
            <w:tcBorders>
              <w:top w:val="single" w:sz="8" w:color="0000FF"/>
            </w:tcBorders>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Section 1350 Certifications</w:t>
            </w:r>
          </w:p>
        </w:tc>
        <w:tc>
          <w:tcPr>
            <w:tcW w:w="6780" w:type="dxa"/>
            <w:vAlign w:val="bottom"/>
            <w:tcBorders>
              <w:top w:val="single" w:sz="8" w:color="CCEEFF"/>
            </w:tcBorders>
            <w:gridSpan w:val="16"/>
          </w:tcPr>
          <w:p>
            <w:pPr>
              <w:spacing w:after="0"/>
              <w:rPr>
                <w:sz w:val="16"/>
                <w:szCs w:val="16"/>
                <w:color w:val="auto"/>
              </w:rPr>
            </w:pPr>
          </w:p>
        </w:tc>
        <w:tc>
          <w:tcPr>
            <w:tcW w:w="58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7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97.1</w:t>
            </w:r>
          </w:p>
        </w:tc>
        <w:tc>
          <w:tcPr>
            <w:tcW w:w="300" w:type="dxa"/>
            <w:vAlign w:val="bottom"/>
            <w:tcBorders>
              <w:bottom w:val="single" w:sz="8" w:color="CCEEFF"/>
            </w:tcBorders>
            <w:shd w:val="clear" w:color="auto" w:fill="CCEEFF"/>
          </w:tcPr>
          <w:p>
            <w:pPr>
              <w:spacing w:after="0"/>
              <w:rPr>
                <w:sz w:val="18"/>
                <w:szCs w:val="18"/>
                <w:color w:val="auto"/>
              </w:rPr>
            </w:pPr>
          </w:p>
        </w:tc>
        <w:tc>
          <w:tcPr>
            <w:tcW w:w="4600" w:type="dxa"/>
            <w:vAlign w:val="bottom"/>
            <w:tcBorders>
              <w:bottom w:val="single" w:sz="8" w:color="0000FF"/>
            </w:tcBorders>
            <w:gridSpan w:val="10"/>
            <w:shd w:val="clear" w:color="auto" w:fill="CCEEFF"/>
          </w:tcPr>
          <w:p>
            <w:pPr>
              <w:spacing w:after="0" w:line="189"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Wabtec Corporation Clawback Policy effective October 2, 2023</w:t>
              </w:r>
            </w:hyperlink>
          </w:p>
        </w:tc>
        <w:tc>
          <w:tcPr>
            <w:tcW w:w="5040" w:type="dxa"/>
            <w:vAlign w:val="bottom"/>
            <w:tcBorders>
              <w:bottom w:val="single" w:sz="8" w:color="CCEEFF"/>
            </w:tcBorders>
            <w:gridSpan w:val="12"/>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w:t>
            </w:r>
          </w:p>
        </w:tc>
      </w:tr>
      <w:tr>
        <w:trPr>
          <w:trHeight w:val="229"/>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00" w:type="dxa"/>
            <w:vAlign w:val="bottom"/>
          </w:tcPr>
          <w:p>
            <w:pPr>
              <w:spacing w:after="0"/>
              <w:rPr>
                <w:sz w:val="19"/>
                <w:szCs w:val="19"/>
                <w:color w:val="auto"/>
              </w:rPr>
            </w:pPr>
          </w:p>
        </w:tc>
        <w:tc>
          <w:tcPr>
            <w:tcW w:w="96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101.SCH</w:t>
            </w:r>
          </w:p>
        </w:tc>
        <w:tc>
          <w:tcPr>
            <w:tcW w:w="300" w:type="dxa"/>
            <w:vAlign w:val="bottom"/>
            <w:shd w:val="clear" w:color="auto" w:fill="CCEEFF"/>
          </w:tcPr>
          <w:p>
            <w:pPr>
              <w:spacing w:after="0"/>
              <w:rPr>
                <w:sz w:val="19"/>
                <w:szCs w:val="19"/>
                <w:color w:val="auto"/>
              </w:rPr>
            </w:pPr>
          </w:p>
        </w:tc>
        <w:tc>
          <w:tcPr>
            <w:tcW w:w="96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101.CAL</w:t>
            </w:r>
          </w:p>
        </w:tc>
        <w:tc>
          <w:tcPr>
            <w:tcW w:w="300" w:type="dxa"/>
            <w:vAlign w:val="bottom"/>
          </w:tcPr>
          <w:p>
            <w:pPr>
              <w:spacing w:after="0"/>
              <w:rPr>
                <w:sz w:val="19"/>
                <w:szCs w:val="19"/>
                <w:color w:val="auto"/>
              </w:rPr>
            </w:pPr>
          </w:p>
        </w:tc>
        <w:tc>
          <w:tcPr>
            <w:tcW w:w="96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00" w:type="dxa"/>
            <w:vAlign w:val="bottom"/>
            <w:shd w:val="clear" w:color="auto" w:fill="CCEEFF"/>
          </w:tcPr>
          <w:p>
            <w:pPr>
              <w:spacing w:after="0"/>
              <w:rPr>
                <w:sz w:val="19"/>
                <w:szCs w:val="19"/>
                <w:color w:val="auto"/>
              </w:rPr>
            </w:pPr>
          </w:p>
        </w:tc>
        <w:tc>
          <w:tcPr>
            <w:tcW w:w="96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101.LAB</w:t>
            </w:r>
          </w:p>
        </w:tc>
        <w:tc>
          <w:tcPr>
            <w:tcW w:w="300" w:type="dxa"/>
            <w:vAlign w:val="bottom"/>
          </w:tcPr>
          <w:p>
            <w:pPr>
              <w:spacing w:after="0"/>
              <w:rPr>
                <w:sz w:val="19"/>
                <w:szCs w:val="19"/>
                <w:color w:val="auto"/>
              </w:rPr>
            </w:pPr>
          </w:p>
        </w:tc>
        <w:tc>
          <w:tcPr>
            <w:tcW w:w="96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00" w:type="dxa"/>
            <w:vAlign w:val="bottom"/>
            <w:shd w:val="clear" w:color="auto" w:fill="CCEEFF"/>
          </w:tcPr>
          <w:p>
            <w:pPr>
              <w:spacing w:after="0"/>
              <w:rPr>
                <w:sz w:val="19"/>
                <w:szCs w:val="19"/>
                <w:color w:val="auto"/>
              </w:rPr>
            </w:pPr>
          </w:p>
        </w:tc>
        <w:tc>
          <w:tcPr>
            <w:tcW w:w="96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0"/>
                <w:szCs w:val="20"/>
                <w:color w:val="auto"/>
              </w:rPr>
            </w:pPr>
          </w:p>
        </w:tc>
        <w:tc>
          <w:tcPr>
            <w:tcW w:w="96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Cover Page Interactive Data (embedded within the Inline XBRL document)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46"/>
        </w:trPr>
        <w:tc>
          <w:tcPr>
            <w:tcW w:w="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w:t>
            </w:r>
          </w:p>
        </w:tc>
        <w:tc>
          <w:tcPr>
            <w:tcW w:w="994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580" w:type="dxa"/>
            <w:vAlign w:val="bottom"/>
          </w:tcPr>
          <w:p>
            <w:pPr>
              <w:spacing w:after="0"/>
              <w:rPr>
                <w:sz w:val="24"/>
                <w:szCs w:val="24"/>
                <w:color w:val="auto"/>
              </w:rPr>
            </w:pPr>
          </w:p>
        </w:tc>
      </w:tr>
      <w:tr>
        <w:trPr>
          <w:trHeight w:val="378"/>
        </w:trPr>
        <w:tc>
          <w:tcPr>
            <w:tcW w:w="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w:t>
            </w:r>
          </w:p>
        </w:tc>
        <w:tc>
          <w:tcPr>
            <w:tcW w:w="994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auto"/>
              </w:rPr>
              <w:t>Filed as an exhibit to the Company’s Registration Statement on Form S-1 (File No. 033-90866).</w:t>
            </w:r>
          </w:p>
        </w:tc>
        <w:tc>
          <w:tcPr>
            <w:tcW w:w="580" w:type="dxa"/>
            <w:vAlign w:val="bottom"/>
          </w:tcPr>
          <w:p>
            <w:pPr>
              <w:spacing w:after="0"/>
              <w:rPr>
                <w:sz w:val="24"/>
                <w:szCs w:val="24"/>
                <w:color w:val="auto"/>
              </w:rPr>
            </w:pPr>
          </w:p>
        </w:tc>
      </w:tr>
    </w:tbl>
    <w:p>
      <w:pPr>
        <w:spacing w:after="0" w:line="144" w:lineRule="exact"/>
        <w:rPr>
          <w:sz w:val="20"/>
          <w:szCs w:val="20"/>
          <w:color w:val="auto"/>
        </w:rPr>
      </w:pPr>
    </w:p>
    <w:p>
      <w:pPr>
        <w:ind w:left="720" w:hanging="185"/>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Annual Report on Form 10-K (File No. 033-90866), dated February 12, 2025.</w:t>
      </w:r>
    </w:p>
    <w:p>
      <w:pPr>
        <w:spacing w:after="0" w:line="171" w:lineRule="exact"/>
        <w:rPr>
          <w:rFonts w:ascii="Times New Roman" w:cs="Times New Roman" w:eastAsia="Times New Roman" w:hAnsi="Times New Roman"/>
          <w:sz w:val="18"/>
          <w:szCs w:val="18"/>
          <w:color w:val="auto"/>
        </w:rPr>
      </w:pPr>
    </w:p>
    <w:p>
      <w:pPr>
        <w:ind w:left="540" w:right="2180"/>
        <w:spacing w:after="0" w:line="4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Filed as an Annex to the Company’s Schedule 14A Proxy Statement (File No. 033-90866) filed on March 31, 2017. 5 Filed as an exhibit to the Company’s Current Report on Form 8-K (File No. 033-90866) filed on April 6, 2022.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6" w:name="page87"/>
    <w:bookmarkEnd w:id="86"/>
    <w:p>
      <w:pPr>
        <w:ind w:left="82"/>
        <w:spacing w:after="0"/>
        <w:rPr>
          <w:sz w:val="20"/>
          <w:szCs w:val="20"/>
          <w:color w:val="auto"/>
        </w:rPr>
      </w:pPr>
      <w:r>
        <w:rPr>
          <w:rFonts w:ascii="Times New Roman" w:cs="Times New Roman" w:eastAsia="Times New Roman" w:hAnsi="Times New Roman"/>
          <w:sz w:val="18"/>
          <w:szCs w:val="18"/>
          <w:color w:val="auto"/>
        </w:rPr>
        <w:t>6 [Reserved]</w:t>
      </w:r>
    </w:p>
    <w:p>
      <w:pPr>
        <w:spacing w:after="0" w:line="171" w:lineRule="exact"/>
        <w:rPr>
          <w:sz w:val="20"/>
          <w:szCs w:val="20"/>
          <w:color w:val="auto"/>
        </w:rPr>
      </w:pPr>
    </w:p>
    <w:p>
      <w:pPr>
        <w:ind w:left="82"/>
        <w:spacing w:after="0"/>
        <w:rPr>
          <w:sz w:val="20"/>
          <w:szCs w:val="20"/>
          <w:color w:val="auto"/>
        </w:rPr>
      </w:pPr>
      <w:r>
        <w:rPr>
          <w:rFonts w:ascii="Times New Roman" w:cs="Times New Roman" w:eastAsia="Times New Roman" w:hAnsi="Times New Roman"/>
          <w:sz w:val="18"/>
          <w:szCs w:val="18"/>
          <w:color w:val="auto"/>
        </w:rPr>
        <w:t>7 Filed as an exhibit to the Company’s Current Report on Form 8-K (File No. 033-90866) dated July 2, 2009.</w:t>
      </w:r>
    </w:p>
    <w:p>
      <w:pPr>
        <w:spacing w:after="0" w:line="171" w:lineRule="exact"/>
        <w:rPr>
          <w:sz w:val="20"/>
          <w:szCs w:val="20"/>
          <w:color w:val="auto"/>
        </w:rPr>
      </w:pPr>
    </w:p>
    <w:p>
      <w:pPr>
        <w:ind w:left="262" w:hanging="172"/>
        <w:spacing w:after="0"/>
        <w:tabs>
          <w:tab w:leader="none" w:pos="26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February 14, 2023.</w:t>
      </w:r>
    </w:p>
    <w:p>
      <w:pPr>
        <w:spacing w:after="0" w:line="171" w:lineRule="exact"/>
        <w:rPr>
          <w:rFonts w:ascii="Times New Roman" w:cs="Times New Roman" w:eastAsia="Times New Roman" w:hAnsi="Times New Roman"/>
          <w:sz w:val="18"/>
          <w:szCs w:val="18"/>
          <w:color w:val="auto"/>
        </w:rPr>
      </w:pPr>
    </w:p>
    <w:p>
      <w:pPr>
        <w:ind w:left="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Filed as an exhibit to the Company’s Annual Report on Form 10-K (File No. 033-90866), dated February 25, 2011.</w:t>
      </w:r>
    </w:p>
    <w:p>
      <w:pPr>
        <w:spacing w:after="0" w:line="171" w:lineRule="exact"/>
        <w:rPr>
          <w:sz w:val="20"/>
          <w:szCs w:val="20"/>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Annual Report on Form 10-K (File No. 033-90866), dated February 22, 2013.</w:t>
      </w:r>
    </w:p>
    <w:p>
      <w:pPr>
        <w:spacing w:after="0" w:line="171" w:lineRule="exact"/>
        <w:rPr>
          <w:rFonts w:ascii="Times New Roman" w:cs="Times New Roman" w:eastAsia="Times New Roman" w:hAnsi="Times New Roman"/>
          <w:sz w:val="18"/>
          <w:szCs w:val="18"/>
          <w:color w:val="auto"/>
        </w:rPr>
      </w:pPr>
    </w:p>
    <w:p>
      <w:pPr>
        <w:ind w:left="262" w:hanging="256"/>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September 9, 2019.</w:t>
      </w:r>
    </w:p>
    <w:p>
      <w:pPr>
        <w:spacing w:after="0" w:line="171"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August 8, 2013.</w:t>
      </w:r>
    </w:p>
    <w:p>
      <w:pPr>
        <w:spacing w:after="0" w:line="171"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71"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71"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November 3, 2016.</w:t>
      </w:r>
    </w:p>
    <w:p>
      <w:pPr>
        <w:spacing w:after="0" w:line="171"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10-K (File No. 033-90866), dated February 28, 2017.</w:t>
      </w:r>
    </w:p>
    <w:p>
      <w:pPr>
        <w:spacing w:after="0" w:line="171"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as an exhibit to the Company's Quarterly Report on Form 10-Q (File No. 033-90866), for the period ended March 31, 2017.</w:t>
      </w:r>
    </w:p>
    <w:p>
      <w:pPr>
        <w:spacing w:after="0" w:line="182" w:lineRule="exact"/>
        <w:rPr>
          <w:rFonts w:ascii="Times New Roman" w:cs="Times New Roman" w:eastAsia="Times New Roman" w:hAnsi="Times New Roman"/>
          <w:sz w:val="17"/>
          <w:szCs w:val="17"/>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Registration Statement on Form S-4 (File No. 0333-219354).</w:t>
      </w:r>
    </w:p>
    <w:p>
      <w:pPr>
        <w:spacing w:after="0" w:line="171"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(File No. 033-90866), for the period ended June 30, 2018.</w:t>
      </w:r>
    </w:p>
    <w:p>
      <w:pPr>
        <w:spacing w:after="0" w:line="171"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September 14, 2018.</w:t>
      </w:r>
    </w:p>
    <w:p>
      <w:pPr>
        <w:spacing w:after="0" w:line="171"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February 25, 2019.</w:t>
      </w:r>
    </w:p>
    <w:p>
      <w:pPr>
        <w:spacing w:after="0" w:line="171"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Annual Report on Form 10-K (File No. 033-90866), dated February 27, 2019.</w:t>
      </w:r>
    </w:p>
    <w:p>
      <w:pPr>
        <w:spacing w:after="0" w:line="171"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(File No. 033-90866), dated August 1, 2019.</w:t>
      </w:r>
    </w:p>
    <w:p>
      <w:pPr>
        <w:spacing w:after="0" w:line="171"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71"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71"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December 7, 2022.</w:t>
      </w:r>
    </w:p>
    <w:p>
      <w:pPr>
        <w:spacing w:after="0" w:line="171"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June 2, 2021</w:t>
      </w:r>
    </w:p>
    <w:p>
      <w:pPr>
        <w:spacing w:after="0" w:line="171"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71"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71"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October 21, 2021</w:t>
      </w:r>
    </w:p>
    <w:p>
      <w:pPr>
        <w:spacing w:after="0" w:line="171"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71"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71"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Registration Statement on Form S-8 (File No. 033-90866), dated March 2, 2012.</w:t>
      </w:r>
    </w:p>
    <w:p>
      <w:pPr>
        <w:spacing w:after="0" w:line="171"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Annual Report on Form 10-K (File No. 033-90866), dated February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122"/>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22"/>
          </w:cols>
          <w:pgMar w:left="738" w:top="931" w:right="1440" w:bottom="1440" w:gutter="0" w:footer="0" w:header="0"/>
        </w:sectPr>
      </w:pPr>
    </w:p>
    <w:bookmarkStart w:id="87" w:name="page88"/>
    <w:bookmarkEnd w:id="87"/>
    <w:p>
      <w:pPr>
        <w:ind w:left="660" w:hanging="262"/>
        <w:spacing w:after="0"/>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(File No. 033-90866), dated April 24, 2024.</w:t>
      </w:r>
    </w:p>
    <w:p>
      <w:pPr>
        <w:spacing w:after="0" w:line="171" w:lineRule="exact"/>
        <w:rPr>
          <w:rFonts w:ascii="Times New Roman" w:cs="Times New Roman" w:eastAsia="Times New Roman" w:hAnsi="Times New Roman"/>
          <w:sz w:val="18"/>
          <w:szCs w:val="18"/>
          <w:color w:val="auto"/>
        </w:rPr>
      </w:pPr>
    </w:p>
    <w:p>
      <w:pPr>
        <w:ind w:left="660" w:hanging="262"/>
        <w:spacing w:after="0"/>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Registration Statement on Form S-3 (Registration No. 333-275386), dated May 19, 2025.</w:t>
      </w:r>
    </w:p>
    <w:p>
      <w:pPr>
        <w:spacing w:after="0" w:line="171" w:lineRule="exact"/>
        <w:rPr>
          <w:rFonts w:ascii="Times New Roman" w:cs="Times New Roman" w:eastAsia="Times New Roman" w:hAnsi="Times New Roman"/>
          <w:sz w:val="18"/>
          <w:szCs w:val="18"/>
          <w:color w:val="auto"/>
        </w:rPr>
      </w:pPr>
    </w:p>
    <w:p>
      <w:pPr>
        <w:ind w:left="660" w:hanging="262"/>
        <w:spacing w:after="0"/>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May 29, 2025.</w:t>
      </w:r>
    </w:p>
    <w:p>
      <w:pPr>
        <w:spacing w:after="0" w:line="171" w:lineRule="exact"/>
        <w:rPr>
          <w:rFonts w:ascii="Times New Roman" w:cs="Times New Roman" w:eastAsia="Times New Roman" w:hAnsi="Times New Roman"/>
          <w:sz w:val="18"/>
          <w:szCs w:val="18"/>
          <w:color w:val="auto"/>
        </w:rPr>
      </w:pPr>
    </w:p>
    <w:p>
      <w:pPr>
        <w:ind w:left="660" w:hanging="262"/>
        <w:spacing w:after="0"/>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 No. 033-90866), dated April 23, 2025.</w:t>
      </w:r>
    </w:p>
    <w:p>
      <w:pPr>
        <w:spacing w:after="0" w:line="19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w:t>
      </w:r>
    </w:p>
    <w:p>
      <w:pPr>
        <w:spacing w:after="0" w:line="27" w:lineRule="exact"/>
        <w:rPr>
          <w:rFonts w:ascii="Times New Roman" w:cs="Times New Roman" w:eastAsia="Times New Roman" w:hAnsi="Times New Roman"/>
          <w:sz w:val="18"/>
          <w:szCs w:val="18"/>
          <w:color w:val="auto"/>
        </w:rPr>
      </w:pPr>
    </w:p>
    <w:p>
      <w:pPr>
        <w:ind w:left="660" w:hanging="654"/>
        <w:spacing w:after="0" w:line="234"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have been omitted pursuant to Item 601(b)(2) of Regulation S-K. Wabtec hereby undertakes to furnish supplementally, copies of any of the omitted schedules upon request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931" w:right="5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SCHEDULE II</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60" w:type="dxa"/>
            <w:vAlign w:val="bottom"/>
            <w:gridSpan w:val="10"/>
          </w:tcPr>
          <w:p>
            <w:pPr>
              <w:jc w:val="center"/>
              <w:ind w:left="236"/>
              <w:spacing w:after="0"/>
              <w:rPr>
                <w:sz w:val="20"/>
                <w:szCs w:val="20"/>
                <w:color w:val="auto"/>
              </w:rPr>
            </w:pPr>
            <w:r>
              <w:rPr>
                <w:rFonts w:ascii="Times New Roman" w:cs="Times New Roman" w:eastAsia="Times New Roman" w:hAnsi="Times New Roman"/>
                <w:sz w:val="18"/>
                <w:szCs w:val="18"/>
                <w:b w:val="1"/>
                <w:bCs w:val="1"/>
                <w:color w:val="auto"/>
                <w:w w:val="99"/>
              </w:rPr>
              <w:t>WESTINGHOUSE AIR BRAKE TECHNOLOGIES CORPORATION</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60" w:type="dxa"/>
            <w:vAlign w:val="bottom"/>
            <w:gridSpan w:val="10"/>
          </w:tcPr>
          <w:p>
            <w:pPr>
              <w:jc w:val="center"/>
              <w:ind w:left="216"/>
              <w:spacing w:after="0"/>
              <w:rPr>
                <w:sz w:val="20"/>
                <w:szCs w:val="20"/>
                <w:color w:val="auto"/>
              </w:rPr>
            </w:pPr>
            <w:r>
              <w:rPr>
                <w:rFonts w:ascii="Times New Roman" w:cs="Times New Roman" w:eastAsia="Times New Roman" w:hAnsi="Times New Roman"/>
                <w:sz w:val="18"/>
                <w:szCs w:val="18"/>
                <w:b w:val="1"/>
                <w:bCs w:val="1"/>
                <w:color w:val="auto"/>
                <w:w w:val="98"/>
              </w:rPr>
              <w:t>VALUATION AND QUALIFYING ACCOUNTS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860" w:type="dxa"/>
            <w:vAlign w:val="bottom"/>
            <w:gridSpan w:val="10"/>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For each of the three years ended December 31</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Charged/</w:t>
            </w:r>
          </w:p>
        </w:tc>
        <w:tc>
          <w:tcPr>
            <w:tcW w:w="180" w:type="dxa"/>
            <w:vAlign w:val="bottom"/>
          </w:tcPr>
          <w:p>
            <w:pPr>
              <w:spacing w:after="0"/>
              <w:rPr>
                <w:sz w:val="16"/>
                <w:szCs w:val="16"/>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160" w:type="dxa"/>
            <w:vAlign w:val="bottom"/>
          </w:tcPr>
          <w:p>
            <w:pPr>
              <w:spacing w:after="0"/>
              <w:rPr>
                <w:sz w:val="16"/>
                <w:szCs w:val="16"/>
                <w:color w:val="auto"/>
              </w:rPr>
            </w:pPr>
          </w:p>
        </w:tc>
        <w:tc>
          <w:tcPr>
            <w:tcW w:w="12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(credited) to</w:t>
            </w:r>
          </w:p>
        </w:tc>
        <w:tc>
          <w:tcPr>
            <w:tcW w:w="1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1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from</w:t>
            </w:r>
          </w:p>
        </w:tc>
        <w:tc>
          <w:tcPr>
            <w:tcW w:w="160" w:type="dxa"/>
            <w:vAlign w:val="bottom"/>
          </w:tcPr>
          <w:p>
            <w:pPr>
              <w:spacing w:after="0"/>
              <w:rPr>
                <w:sz w:val="14"/>
                <w:szCs w:val="14"/>
                <w:color w:val="auto"/>
              </w:rPr>
            </w:pPr>
          </w:p>
        </w:tc>
        <w:tc>
          <w:tcPr>
            <w:tcW w:w="12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at end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6"/>
                <w:szCs w:val="16"/>
                <w:b w:val="1"/>
                <w:bCs w:val="1"/>
                <w:color w:val="auto"/>
              </w:rPr>
              <w:t>of period</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6"/>
                <w:szCs w:val="16"/>
                <w:b w:val="1"/>
                <w:bCs w:val="1"/>
                <w:color w:val="auto"/>
              </w:rPr>
              <w:t>expense</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w w:val="99"/>
              </w:rPr>
              <w:t>accounts (1)</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6"/>
                <w:szCs w:val="16"/>
                <w:b w:val="1"/>
                <w:bCs w:val="1"/>
                <w:color w:val="auto"/>
                <w:w w:val="99"/>
              </w:rPr>
              <w:t>reserves (2)</w:t>
            </w:r>
          </w:p>
        </w:tc>
        <w:tc>
          <w:tcPr>
            <w:tcW w:w="160" w:type="dxa"/>
            <w:vAlign w:val="bottom"/>
          </w:tcPr>
          <w:p>
            <w:pPr>
              <w:spacing w:after="0"/>
              <w:rPr>
                <w:sz w:val="14"/>
                <w:szCs w:val="14"/>
                <w:color w:val="auto"/>
              </w:rPr>
            </w:pPr>
          </w:p>
        </w:tc>
        <w:tc>
          <w:tcPr>
            <w:tcW w:w="122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6"/>
                <w:szCs w:val="16"/>
                <w:b w:val="1"/>
                <w:bCs w:val="1"/>
                <w:color w:val="auto"/>
                <w:w w:val="98"/>
              </w:rPr>
              <w:t>period</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allowance-taxes</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Valuation allowance-taxes</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allowance-taxes</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60" w:hanging="309"/>
        <w:spacing w:after="0"/>
        <w:tabs>
          <w:tab w:leader="none" w:pos="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fluctuations in foreign currency exchange rates.</w:t>
      </w:r>
    </w:p>
    <w:p>
      <w:pPr>
        <w:spacing w:after="0" w:line="27" w:lineRule="exact"/>
        <w:rPr>
          <w:rFonts w:ascii="Times New Roman" w:cs="Times New Roman" w:eastAsia="Times New Roman" w:hAnsi="Times New Roman"/>
          <w:sz w:val="18"/>
          <w:szCs w:val="18"/>
          <w:color w:val="auto"/>
        </w:rPr>
      </w:pPr>
    </w:p>
    <w:p>
      <w:pPr>
        <w:ind w:left="580" w:right="80" w:hanging="329"/>
        <w:spacing w:after="0" w:line="260" w:lineRule="auto"/>
        <w:tabs>
          <w:tab w:leader="none" w:pos="57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Deductions in Allowance for doubtful accounts are from amounts written off as uncollectible or proceeds from subsequent collections. Deductions for Valuation allowances-taxes were primarily from changes in expected deferred tax utilization.</w:t>
      </w:r>
    </w:p>
    <w:p>
      <w:pPr>
        <w:spacing w:after="0" w:line="110"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887" w:right="33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25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WESTINGHOUSE AIR BRAKE</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TECHNOLOGIES CORPORATION</w:t>
      </w:r>
    </w:p>
    <w:p>
      <w:pPr>
        <w:spacing w:after="0" w:line="232" w:lineRule="exact"/>
        <w:rPr>
          <w:sz w:val="20"/>
          <w:szCs w:val="20"/>
          <w:color w:val="auto"/>
        </w:rPr>
      </w:pPr>
    </w:p>
    <w:p>
      <w:pPr>
        <w:ind w:left="20"/>
        <w:spacing w:after="0"/>
        <w:tabs>
          <w:tab w:leader="none" w:pos="720" w:val="left"/>
          <w:tab w:leader="none" w:pos="5960" w:val="left"/>
          <w:tab w:leader="none" w:pos="7740" w:val="left"/>
          <w:tab w:leader="none" w:pos="8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RAFAEL SANTANA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68580</wp:posOffset>
            </wp:positionV>
            <wp:extent cx="31375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91"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Rafael Santana,</w:t>
      </w:r>
    </w:p>
    <w:p>
      <w:pPr>
        <w:spacing w:after="0" w:line="42"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90" w:name="page91"/>
    <w:bookmarkEnd w:id="90"/>
    <w:p>
      <w:pPr>
        <w:ind w:right="280" w:firstLine="486"/>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Company and in the capacities and on the dates indicated.</w:t>
      </w:r>
    </w:p>
    <w:tbl>
      <w:tblPr>
        <w:tblLayout w:type="fixed"/>
        <w:tblInd w:w="2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60" w:type="dxa"/>
            <w:vAlign w:val="bottom"/>
            <w:gridSpan w:val="2"/>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Signature and Title</w:t>
            </w:r>
          </w:p>
        </w:tc>
        <w:tc>
          <w:tcPr>
            <w:tcW w:w="5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91"/>
        </w:trPr>
        <w:tc>
          <w:tcPr>
            <w:tcW w:w="1020" w:type="dxa"/>
            <w:vAlign w:val="bottom"/>
          </w:tcPr>
          <w:p>
            <w:pPr>
              <w:spacing w:after="0"/>
              <w:rPr>
                <w:sz w:val="7"/>
                <w:szCs w:val="7"/>
                <w:color w:val="auto"/>
              </w:rPr>
            </w:pPr>
          </w:p>
        </w:tc>
        <w:tc>
          <w:tcPr>
            <w:tcW w:w="5180" w:type="dxa"/>
            <w:vAlign w:val="bottom"/>
            <w:tcBorders>
              <w:bottom w:val="single" w:sz="8" w:color="auto"/>
            </w:tcBorders>
            <w:gridSpan w:val="4"/>
          </w:tcPr>
          <w:p>
            <w:pPr>
              <w:spacing w:after="0"/>
              <w:rPr>
                <w:sz w:val="7"/>
                <w:szCs w:val="7"/>
                <w:color w:val="auto"/>
              </w:rPr>
            </w:pPr>
          </w:p>
        </w:tc>
        <w:tc>
          <w:tcPr>
            <w:tcW w:w="5000" w:type="dxa"/>
            <w:vAlign w:val="bottom"/>
            <w:tcBorders>
              <w:bottom w:val="single" w:sz="8" w:color="auto"/>
            </w:tcBorders>
          </w:tcPr>
          <w:p>
            <w:pPr>
              <w:spacing w:after="0"/>
              <w:rPr>
                <w:sz w:val="7"/>
                <w:szCs w:val="7"/>
                <w:color w:val="auto"/>
              </w:rPr>
            </w:pPr>
          </w:p>
        </w:tc>
      </w:tr>
      <w:tr>
        <w:trPr>
          <w:trHeight w:val="38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/S/  ALBERT J. NEUPAVER</w:t>
            </w: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2026</w:t>
            </w:r>
          </w:p>
        </w:tc>
      </w:tr>
      <w:tr>
        <w:trPr>
          <w:trHeight w:val="131"/>
        </w:trPr>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gridSpan w:val="2"/>
          </w:tcPr>
          <w:p>
            <w:pPr>
              <w:jc w:val="center"/>
              <w:ind w:right="1864"/>
              <w:spacing w:after="0" w:line="131" w:lineRule="exact"/>
              <w:rPr>
                <w:sz w:val="20"/>
                <w:szCs w:val="20"/>
                <w:color w:val="auto"/>
              </w:rPr>
            </w:pPr>
            <w:r>
              <w:rPr>
                <w:rFonts w:ascii="Times New Roman" w:cs="Times New Roman" w:eastAsia="Times New Roman" w:hAnsi="Times New Roman"/>
                <w:sz w:val="14"/>
                <w:szCs w:val="14"/>
                <w:b w:val="1"/>
                <w:bCs w:val="1"/>
                <w:color w:val="auto"/>
              </w:rPr>
              <w:t>Albert J. Neupaver,</w:t>
            </w:r>
          </w:p>
        </w:tc>
        <w:tc>
          <w:tcPr>
            <w:tcW w:w="5000" w:type="dxa"/>
            <w:vAlign w:val="bottom"/>
          </w:tcPr>
          <w:p>
            <w:pPr>
              <w:spacing w:after="0"/>
              <w:rPr>
                <w:sz w:val="11"/>
                <w:szCs w:val="11"/>
                <w:color w:val="auto"/>
              </w:rPr>
            </w:pPr>
          </w:p>
        </w:tc>
      </w:tr>
      <w:tr>
        <w:trPr>
          <w:trHeight w:val="190"/>
        </w:trPr>
        <w:tc>
          <w:tcPr>
            <w:tcW w:w="1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60" w:type="dxa"/>
            <w:vAlign w:val="bottom"/>
            <w:gridSpan w:val="3"/>
          </w:tcPr>
          <w:p>
            <w:pPr>
              <w:jc w:val="center"/>
              <w:ind w:right="1464"/>
              <w:spacing w:after="0"/>
              <w:rPr>
                <w:sz w:val="20"/>
                <w:szCs w:val="20"/>
                <w:color w:val="auto"/>
              </w:rPr>
            </w:pPr>
            <w:r>
              <w:rPr>
                <w:rFonts w:ascii="Times New Roman" w:cs="Times New Roman" w:eastAsia="Times New Roman" w:hAnsi="Times New Roman"/>
                <w:sz w:val="14"/>
                <w:szCs w:val="14"/>
                <w:b w:val="1"/>
                <w:bCs w:val="1"/>
                <w:color w:val="auto"/>
              </w:rPr>
              <w:t>Chairman of the Board</w:t>
            </w:r>
          </w:p>
        </w:tc>
        <w:tc>
          <w:tcPr>
            <w:tcW w:w="5000" w:type="dxa"/>
            <w:vAlign w:val="bottom"/>
          </w:tcPr>
          <w:p>
            <w:pPr>
              <w:spacing w:after="0"/>
              <w:rPr>
                <w:sz w:val="16"/>
                <w:szCs w:val="16"/>
                <w:color w:val="auto"/>
              </w:rPr>
            </w:pPr>
          </w:p>
        </w:tc>
      </w:tr>
      <w:tr>
        <w:trPr>
          <w:trHeight w:val="40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t>
            </w:r>
          </w:p>
        </w:tc>
        <w:tc>
          <w:tcPr>
            <w:tcW w:w="3260" w:type="dxa"/>
            <w:vAlign w:val="bottom"/>
            <w:tcBorders>
              <w:bottom w:val="single" w:sz="8" w:color="auto"/>
            </w:tcBorders>
            <w:gridSpan w:val="2"/>
          </w:tcPr>
          <w:p>
            <w:pPr>
              <w:jc w:val="center"/>
              <w:ind w:right="1484"/>
              <w:spacing w:after="0"/>
              <w:rPr>
                <w:sz w:val="20"/>
                <w:szCs w:val="20"/>
                <w:color w:val="auto"/>
              </w:rPr>
            </w:pPr>
            <w:r>
              <w:rPr>
                <w:rFonts w:ascii="Times New Roman" w:cs="Times New Roman" w:eastAsia="Times New Roman" w:hAnsi="Times New Roman"/>
                <w:sz w:val="18"/>
                <w:szCs w:val="18"/>
                <w:color w:val="auto"/>
                <w:w w:val="98"/>
              </w:rPr>
              <w:t>RAFAEL SANTANA</w:t>
            </w: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2026</w:t>
            </w:r>
          </w:p>
        </w:tc>
      </w:tr>
      <w:tr>
        <w:trPr>
          <w:trHeight w:val="131"/>
        </w:trPr>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00" w:type="dxa"/>
            <w:vAlign w:val="bottom"/>
          </w:tcPr>
          <w:p>
            <w:pPr>
              <w:jc w:val="center"/>
              <w:ind w:right="2004"/>
              <w:spacing w:after="0" w:line="131" w:lineRule="exact"/>
              <w:rPr>
                <w:sz w:val="20"/>
                <w:szCs w:val="20"/>
                <w:color w:val="auto"/>
              </w:rPr>
            </w:pPr>
            <w:r>
              <w:rPr>
                <w:rFonts w:ascii="Times New Roman" w:cs="Times New Roman" w:eastAsia="Times New Roman" w:hAnsi="Times New Roman"/>
                <w:sz w:val="14"/>
                <w:szCs w:val="14"/>
                <w:b w:val="1"/>
                <w:bCs w:val="1"/>
                <w:color w:val="auto"/>
              </w:rPr>
              <w:t>Rafael Santana,</w:t>
            </w:r>
          </w:p>
        </w:tc>
        <w:tc>
          <w:tcPr>
            <w:tcW w:w="5000" w:type="dxa"/>
            <w:vAlign w:val="bottom"/>
          </w:tcPr>
          <w:p>
            <w:pPr>
              <w:spacing w:after="0"/>
              <w:rPr>
                <w:sz w:val="11"/>
                <w:szCs w:val="11"/>
                <w:color w:val="auto"/>
              </w:rPr>
            </w:pPr>
          </w:p>
        </w:tc>
      </w:tr>
      <w:tr>
        <w:trPr>
          <w:trHeight w:val="190"/>
        </w:trPr>
        <w:tc>
          <w:tcPr>
            <w:tcW w:w="1020" w:type="dxa"/>
            <w:vAlign w:val="bottom"/>
          </w:tcPr>
          <w:p>
            <w:pPr>
              <w:spacing w:after="0"/>
              <w:rPr>
                <w:sz w:val="16"/>
                <w:szCs w:val="16"/>
                <w:color w:val="auto"/>
              </w:rPr>
            </w:pPr>
          </w:p>
        </w:tc>
        <w:tc>
          <w:tcPr>
            <w:tcW w:w="5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 and Director (Principal Executive Officer)</w:t>
            </w:r>
          </w:p>
        </w:tc>
        <w:tc>
          <w:tcPr>
            <w:tcW w:w="5000" w:type="dxa"/>
            <w:vAlign w:val="bottom"/>
          </w:tcPr>
          <w:p>
            <w:pPr>
              <w:spacing w:after="0"/>
              <w:rPr>
                <w:sz w:val="16"/>
                <w:szCs w:val="16"/>
                <w:color w:val="auto"/>
              </w:rPr>
            </w:pPr>
          </w:p>
        </w:tc>
      </w:tr>
      <w:tr>
        <w:trPr>
          <w:trHeight w:val="40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w:t>
            </w:r>
          </w:p>
        </w:tc>
        <w:tc>
          <w:tcPr>
            <w:tcW w:w="3100" w:type="dxa"/>
            <w:vAlign w:val="bottom"/>
            <w:tcBorders>
              <w:bottom w:val="single" w:sz="8" w:color="auto"/>
            </w:tcBorders>
          </w:tcPr>
          <w:p>
            <w:pPr>
              <w:jc w:val="center"/>
              <w:ind w:right="1664"/>
              <w:spacing w:after="0"/>
              <w:rPr>
                <w:sz w:val="20"/>
                <w:szCs w:val="20"/>
                <w:color w:val="auto"/>
              </w:rPr>
            </w:pPr>
            <w:r>
              <w:rPr>
                <w:rFonts w:ascii="Times New Roman" w:cs="Times New Roman" w:eastAsia="Times New Roman" w:hAnsi="Times New Roman"/>
                <w:sz w:val="18"/>
                <w:szCs w:val="18"/>
                <w:color w:val="auto"/>
              </w:rPr>
              <w:t>JOHN A. OLIN</w:t>
            </w: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2026</w:t>
            </w:r>
          </w:p>
        </w:tc>
      </w:tr>
      <w:tr>
        <w:trPr>
          <w:trHeight w:val="131"/>
        </w:trPr>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00" w:type="dxa"/>
            <w:vAlign w:val="bottom"/>
          </w:tcPr>
          <w:p>
            <w:pPr>
              <w:jc w:val="center"/>
              <w:ind w:right="2004"/>
              <w:spacing w:after="0" w:line="131" w:lineRule="exact"/>
              <w:rPr>
                <w:sz w:val="20"/>
                <w:szCs w:val="20"/>
                <w:color w:val="auto"/>
              </w:rPr>
            </w:pPr>
            <w:r>
              <w:rPr>
                <w:rFonts w:ascii="Times New Roman" w:cs="Times New Roman" w:eastAsia="Times New Roman" w:hAnsi="Times New Roman"/>
                <w:sz w:val="14"/>
                <w:szCs w:val="14"/>
                <w:b w:val="1"/>
                <w:bCs w:val="1"/>
                <w:color w:val="auto"/>
              </w:rPr>
              <w:t>John A. Olin,</w:t>
            </w:r>
          </w:p>
        </w:tc>
        <w:tc>
          <w:tcPr>
            <w:tcW w:w="5000" w:type="dxa"/>
            <w:vAlign w:val="bottom"/>
          </w:tcPr>
          <w:p>
            <w:pPr>
              <w:spacing w:after="0"/>
              <w:rPr>
                <w:sz w:val="11"/>
                <w:szCs w:val="11"/>
                <w:color w:val="auto"/>
              </w:rPr>
            </w:pPr>
          </w:p>
        </w:tc>
      </w:tr>
      <w:tr>
        <w:trPr>
          <w:trHeight w:val="190"/>
        </w:trPr>
        <w:tc>
          <w:tcPr>
            <w:tcW w:w="1020" w:type="dxa"/>
            <w:vAlign w:val="bottom"/>
          </w:tcPr>
          <w:p>
            <w:pPr>
              <w:spacing w:after="0"/>
              <w:rPr>
                <w:sz w:val="16"/>
                <w:szCs w:val="16"/>
                <w:color w:val="auto"/>
              </w:rPr>
            </w:pPr>
          </w:p>
        </w:tc>
        <w:tc>
          <w:tcPr>
            <w:tcW w:w="5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 (Principal Financial Officer)</w:t>
            </w:r>
          </w:p>
        </w:tc>
        <w:tc>
          <w:tcPr>
            <w:tcW w:w="5000" w:type="dxa"/>
            <w:vAlign w:val="bottom"/>
          </w:tcPr>
          <w:p>
            <w:pPr>
              <w:spacing w:after="0"/>
              <w:rPr>
                <w:sz w:val="16"/>
                <w:szCs w:val="16"/>
                <w:color w:val="auto"/>
              </w:rPr>
            </w:pPr>
          </w:p>
        </w:tc>
      </w:tr>
      <w:tr>
        <w:trPr>
          <w:trHeight w:val="40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5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w w:val="99"/>
              </w:rPr>
              <w:t>/S/</w:t>
            </w:r>
          </w:p>
        </w:tc>
        <w:tc>
          <w:tcPr>
            <w:tcW w:w="3660" w:type="dxa"/>
            <w:vAlign w:val="bottom"/>
            <w:tcBorders>
              <w:bottom w:val="single" w:sz="8" w:color="auto"/>
            </w:tcBorders>
            <w:gridSpan w:val="3"/>
          </w:tcPr>
          <w:p>
            <w:pPr>
              <w:jc w:val="center"/>
              <w:ind w:right="1484"/>
              <w:spacing w:after="0"/>
              <w:rPr>
                <w:sz w:val="20"/>
                <w:szCs w:val="20"/>
                <w:color w:val="auto"/>
              </w:rPr>
            </w:pPr>
            <w:r>
              <w:rPr>
                <w:rFonts w:ascii="Times New Roman" w:cs="Times New Roman" w:eastAsia="Times New Roman" w:hAnsi="Times New Roman"/>
                <w:sz w:val="18"/>
                <w:szCs w:val="18"/>
                <w:color w:val="auto"/>
                <w:w w:val="98"/>
              </w:rPr>
              <w:t>JOHN A. MASTALERZ</w:t>
            </w: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2026</w:t>
            </w:r>
          </w:p>
        </w:tc>
      </w:tr>
      <w:tr>
        <w:trPr>
          <w:trHeight w:val="131"/>
        </w:trPr>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gridSpan w:val="2"/>
          </w:tcPr>
          <w:p>
            <w:pPr>
              <w:jc w:val="center"/>
              <w:ind w:right="1864"/>
              <w:spacing w:after="0" w:line="131" w:lineRule="exact"/>
              <w:rPr>
                <w:sz w:val="20"/>
                <w:szCs w:val="20"/>
                <w:color w:val="auto"/>
              </w:rPr>
            </w:pPr>
            <w:r>
              <w:rPr>
                <w:rFonts w:ascii="Times New Roman" w:cs="Times New Roman" w:eastAsia="Times New Roman" w:hAnsi="Times New Roman"/>
                <w:sz w:val="14"/>
                <w:szCs w:val="14"/>
                <w:b w:val="1"/>
                <w:bCs w:val="1"/>
                <w:color w:val="auto"/>
              </w:rPr>
              <w:t>John A. Mastalerz,</w:t>
            </w:r>
          </w:p>
        </w:tc>
        <w:tc>
          <w:tcPr>
            <w:tcW w:w="5000" w:type="dxa"/>
            <w:vAlign w:val="bottom"/>
          </w:tcPr>
          <w:p>
            <w:pPr>
              <w:spacing w:after="0"/>
              <w:rPr>
                <w:sz w:val="11"/>
                <w:szCs w:val="11"/>
                <w:color w:val="auto"/>
              </w:rPr>
            </w:pPr>
          </w:p>
        </w:tc>
      </w:tr>
      <w:tr>
        <w:trPr>
          <w:trHeight w:val="190"/>
        </w:trPr>
        <w:tc>
          <w:tcPr>
            <w:tcW w:w="1020" w:type="dxa"/>
            <w:vAlign w:val="bottom"/>
          </w:tcPr>
          <w:p>
            <w:pPr>
              <w:spacing w:after="0"/>
              <w:rPr>
                <w:sz w:val="16"/>
                <w:szCs w:val="16"/>
                <w:color w:val="auto"/>
              </w:rPr>
            </w:pPr>
          </w:p>
        </w:tc>
        <w:tc>
          <w:tcPr>
            <w:tcW w:w="5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Senior Vice President and Principal Accounting Officer</w:t>
            </w:r>
          </w:p>
        </w:tc>
        <w:tc>
          <w:tcPr>
            <w:tcW w:w="5000" w:type="dxa"/>
            <w:vAlign w:val="bottom"/>
          </w:tcPr>
          <w:p>
            <w:pPr>
              <w:spacing w:after="0"/>
              <w:rPr>
                <w:sz w:val="16"/>
                <w:szCs w:val="16"/>
                <w:color w:val="auto"/>
              </w:rPr>
            </w:pPr>
          </w:p>
        </w:tc>
      </w:tr>
      <w:tr>
        <w:trPr>
          <w:trHeight w:val="40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w:t>
            </w:r>
          </w:p>
        </w:tc>
        <w:tc>
          <w:tcPr>
            <w:tcW w:w="3260" w:type="dxa"/>
            <w:vAlign w:val="bottom"/>
            <w:tcBorders>
              <w:bottom w:val="single" w:sz="8" w:color="auto"/>
            </w:tcBorders>
            <w:gridSpan w:val="2"/>
          </w:tcPr>
          <w:p>
            <w:pPr>
              <w:jc w:val="center"/>
              <w:ind w:right="1464"/>
              <w:spacing w:after="0"/>
              <w:rPr>
                <w:sz w:val="20"/>
                <w:szCs w:val="20"/>
                <w:color w:val="auto"/>
              </w:rPr>
            </w:pPr>
            <w:r>
              <w:rPr>
                <w:rFonts w:ascii="Times New Roman" w:cs="Times New Roman" w:eastAsia="Times New Roman" w:hAnsi="Times New Roman"/>
                <w:sz w:val="18"/>
                <w:szCs w:val="18"/>
                <w:color w:val="auto"/>
                <w:w w:val="99"/>
              </w:rPr>
              <w:t>LINDA A. HARTY</w:t>
            </w: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2026</w:t>
            </w:r>
          </w:p>
        </w:tc>
      </w:tr>
      <w:tr>
        <w:trPr>
          <w:trHeight w:val="131"/>
        </w:trPr>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00" w:type="dxa"/>
            <w:vAlign w:val="bottom"/>
          </w:tcPr>
          <w:p>
            <w:pPr>
              <w:jc w:val="center"/>
              <w:ind w:right="2004"/>
              <w:spacing w:after="0" w:line="131" w:lineRule="exact"/>
              <w:rPr>
                <w:sz w:val="20"/>
                <w:szCs w:val="20"/>
                <w:color w:val="auto"/>
              </w:rPr>
            </w:pPr>
            <w:r>
              <w:rPr>
                <w:rFonts w:ascii="Times New Roman" w:cs="Times New Roman" w:eastAsia="Times New Roman" w:hAnsi="Times New Roman"/>
                <w:sz w:val="14"/>
                <w:szCs w:val="14"/>
                <w:b w:val="1"/>
                <w:bCs w:val="1"/>
                <w:color w:val="auto"/>
              </w:rPr>
              <w:t>Linda A. Harty,</w:t>
            </w:r>
          </w:p>
        </w:tc>
        <w:tc>
          <w:tcPr>
            <w:tcW w:w="5000" w:type="dxa"/>
            <w:vAlign w:val="bottom"/>
          </w:tcPr>
          <w:p>
            <w:pPr>
              <w:spacing w:after="0"/>
              <w:rPr>
                <w:sz w:val="11"/>
                <w:szCs w:val="11"/>
                <w:color w:val="auto"/>
              </w:rPr>
            </w:pPr>
          </w:p>
        </w:tc>
      </w:tr>
      <w:tr>
        <w:trPr>
          <w:trHeight w:val="190"/>
        </w:trPr>
        <w:tc>
          <w:tcPr>
            <w:tcW w:w="1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tcPr>
          <w:p>
            <w:pPr>
              <w:jc w:val="center"/>
              <w:ind w:right="2004"/>
              <w:spacing w:after="0"/>
              <w:rPr>
                <w:sz w:val="20"/>
                <w:szCs w:val="20"/>
                <w:color w:val="auto"/>
              </w:rPr>
            </w:pPr>
            <w:r>
              <w:rPr>
                <w:rFonts w:ascii="Times New Roman" w:cs="Times New Roman" w:eastAsia="Times New Roman" w:hAnsi="Times New Roman"/>
                <w:sz w:val="14"/>
                <w:szCs w:val="14"/>
                <w:b w:val="1"/>
                <w:bCs w:val="1"/>
                <w:color w:val="auto"/>
              </w:rPr>
              <w:t>Lead Director</w:t>
            </w:r>
          </w:p>
        </w:tc>
        <w:tc>
          <w:tcPr>
            <w:tcW w:w="5000" w:type="dxa"/>
            <w:vAlign w:val="bottom"/>
          </w:tcPr>
          <w:p>
            <w:pPr>
              <w:spacing w:after="0"/>
              <w:rPr>
                <w:sz w:val="16"/>
                <w:szCs w:val="16"/>
                <w:color w:val="auto"/>
              </w:rPr>
            </w:pPr>
          </w:p>
        </w:tc>
      </w:tr>
      <w:tr>
        <w:trPr>
          <w:trHeight w:val="40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5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/S/</w:t>
            </w:r>
          </w:p>
        </w:tc>
        <w:tc>
          <w:tcPr>
            <w:tcW w:w="3660" w:type="dxa"/>
            <w:vAlign w:val="bottom"/>
            <w:tcBorders>
              <w:bottom w:val="single" w:sz="8" w:color="auto"/>
            </w:tcBorders>
            <w:gridSpan w:val="3"/>
          </w:tcPr>
          <w:p>
            <w:pPr>
              <w:jc w:val="center"/>
              <w:ind w:right="1444"/>
              <w:spacing w:after="0"/>
              <w:rPr>
                <w:sz w:val="20"/>
                <w:szCs w:val="20"/>
                <w:color w:val="auto"/>
              </w:rPr>
            </w:pPr>
            <w:r>
              <w:rPr>
                <w:rFonts w:ascii="Times New Roman" w:cs="Times New Roman" w:eastAsia="Times New Roman" w:hAnsi="Times New Roman"/>
                <w:sz w:val="18"/>
                <w:szCs w:val="18"/>
                <w:color w:val="auto"/>
              </w:rPr>
              <w:t>BEVERLEY BABCOCK</w:t>
            </w: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2026</w:t>
            </w:r>
          </w:p>
        </w:tc>
      </w:tr>
      <w:tr>
        <w:trPr>
          <w:trHeight w:val="131"/>
        </w:trPr>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gridSpan w:val="2"/>
          </w:tcPr>
          <w:p>
            <w:pPr>
              <w:jc w:val="center"/>
              <w:ind w:right="1844"/>
              <w:spacing w:after="0" w:line="131" w:lineRule="exact"/>
              <w:rPr>
                <w:sz w:val="20"/>
                <w:szCs w:val="20"/>
                <w:color w:val="auto"/>
              </w:rPr>
            </w:pPr>
            <w:r>
              <w:rPr>
                <w:rFonts w:ascii="Times New Roman" w:cs="Times New Roman" w:eastAsia="Times New Roman" w:hAnsi="Times New Roman"/>
                <w:sz w:val="14"/>
                <w:szCs w:val="14"/>
                <w:b w:val="1"/>
                <w:bCs w:val="1"/>
                <w:color w:val="auto"/>
              </w:rPr>
              <w:t>Beverley Babcock,</w:t>
            </w:r>
          </w:p>
        </w:tc>
        <w:tc>
          <w:tcPr>
            <w:tcW w:w="5000" w:type="dxa"/>
            <w:vAlign w:val="bottom"/>
          </w:tcPr>
          <w:p>
            <w:pPr>
              <w:spacing w:after="0"/>
              <w:rPr>
                <w:sz w:val="11"/>
                <w:szCs w:val="11"/>
                <w:color w:val="auto"/>
              </w:rPr>
            </w:pPr>
          </w:p>
        </w:tc>
      </w:tr>
      <w:tr>
        <w:trPr>
          <w:trHeight w:val="190"/>
        </w:trPr>
        <w:tc>
          <w:tcPr>
            <w:tcW w:w="1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tcPr>
          <w:p>
            <w:pPr>
              <w:jc w:val="center"/>
              <w:ind w:right="2024"/>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5000" w:type="dxa"/>
            <w:vAlign w:val="bottom"/>
          </w:tcPr>
          <w:p>
            <w:pPr>
              <w:spacing w:after="0"/>
              <w:rPr>
                <w:sz w:val="16"/>
                <w:szCs w:val="16"/>
                <w:color w:val="auto"/>
              </w:rPr>
            </w:pPr>
          </w:p>
        </w:tc>
      </w:tr>
      <w:tr>
        <w:trPr>
          <w:trHeight w:val="40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/S/</w:t>
            </w: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center"/>
              <w:ind w:right="2044"/>
              <w:spacing w:after="0"/>
              <w:rPr>
                <w:sz w:val="20"/>
                <w:szCs w:val="20"/>
                <w:color w:val="auto"/>
              </w:rPr>
            </w:pPr>
            <w:r>
              <w:rPr>
                <w:rFonts w:ascii="Times New Roman" w:cs="Times New Roman" w:eastAsia="Times New Roman" w:hAnsi="Times New Roman"/>
                <w:sz w:val="18"/>
                <w:szCs w:val="18"/>
                <w:color w:val="auto"/>
                <w:w w:val="99"/>
              </w:rPr>
              <w:t>LEE BANKS</w:t>
            </w: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2026</w:t>
            </w:r>
          </w:p>
        </w:tc>
      </w:tr>
      <w:tr>
        <w:trPr>
          <w:trHeight w:val="131"/>
        </w:trPr>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00" w:type="dxa"/>
            <w:vAlign w:val="bottom"/>
          </w:tcPr>
          <w:p>
            <w:pPr>
              <w:jc w:val="center"/>
              <w:ind w:right="2024"/>
              <w:spacing w:after="0" w:line="131" w:lineRule="exact"/>
              <w:rPr>
                <w:sz w:val="20"/>
                <w:szCs w:val="20"/>
                <w:color w:val="auto"/>
              </w:rPr>
            </w:pPr>
            <w:r>
              <w:rPr>
                <w:rFonts w:ascii="Times New Roman" w:cs="Times New Roman" w:eastAsia="Times New Roman" w:hAnsi="Times New Roman"/>
                <w:sz w:val="14"/>
                <w:szCs w:val="14"/>
                <w:b w:val="1"/>
                <w:bCs w:val="1"/>
                <w:color w:val="auto"/>
              </w:rPr>
              <w:t>Lee Banks,</w:t>
            </w:r>
          </w:p>
        </w:tc>
        <w:tc>
          <w:tcPr>
            <w:tcW w:w="5000" w:type="dxa"/>
            <w:vAlign w:val="bottom"/>
          </w:tcPr>
          <w:p>
            <w:pPr>
              <w:spacing w:after="0"/>
              <w:rPr>
                <w:sz w:val="11"/>
                <w:szCs w:val="11"/>
                <w:color w:val="auto"/>
              </w:rPr>
            </w:pPr>
          </w:p>
        </w:tc>
      </w:tr>
      <w:tr>
        <w:trPr>
          <w:trHeight w:val="190"/>
        </w:trPr>
        <w:tc>
          <w:tcPr>
            <w:tcW w:w="1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tcPr>
          <w:p>
            <w:pPr>
              <w:jc w:val="center"/>
              <w:ind w:right="2024"/>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5000" w:type="dxa"/>
            <w:vAlign w:val="bottom"/>
          </w:tcPr>
          <w:p>
            <w:pPr>
              <w:spacing w:after="0"/>
              <w:rPr>
                <w:sz w:val="16"/>
                <w:szCs w:val="16"/>
                <w:color w:val="auto"/>
              </w:rPr>
            </w:pPr>
          </w:p>
        </w:tc>
      </w:tr>
      <w:tr>
        <w:trPr>
          <w:trHeight w:val="40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9"/>
              </w:rPr>
              <w:t>/S/</w:t>
            </w: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center"/>
              <w:ind w:right="1644"/>
              <w:spacing w:after="0"/>
              <w:rPr>
                <w:sz w:val="20"/>
                <w:szCs w:val="20"/>
                <w:color w:val="auto"/>
              </w:rPr>
            </w:pPr>
            <w:r>
              <w:rPr>
                <w:rFonts w:ascii="Times New Roman" w:cs="Times New Roman" w:eastAsia="Times New Roman" w:hAnsi="Times New Roman"/>
                <w:sz w:val="18"/>
                <w:szCs w:val="18"/>
                <w:color w:val="auto"/>
                <w:w w:val="99"/>
              </w:rPr>
              <w:t>BYRON FOSTER</w:t>
            </w: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2026</w:t>
            </w:r>
          </w:p>
        </w:tc>
      </w:tr>
      <w:tr>
        <w:trPr>
          <w:trHeight w:val="131"/>
        </w:trPr>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00" w:type="dxa"/>
            <w:vAlign w:val="bottom"/>
          </w:tcPr>
          <w:p>
            <w:pPr>
              <w:jc w:val="center"/>
              <w:ind w:right="2004"/>
              <w:spacing w:after="0" w:line="131" w:lineRule="exact"/>
              <w:rPr>
                <w:sz w:val="20"/>
                <w:szCs w:val="20"/>
                <w:color w:val="auto"/>
              </w:rPr>
            </w:pPr>
            <w:r>
              <w:rPr>
                <w:rFonts w:ascii="Times New Roman" w:cs="Times New Roman" w:eastAsia="Times New Roman" w:hAnsi="Times New Roman"/>
                <w:sz w:val="14"/>
                <w:szCs w:val="14"/>
                <w:b w:val="1"/>
                <w:bCs w:val="1"/>
                <w:color w:val="auto"/>
                <w:w w:val="99"/>
              </w:rPr>
              <w:t>Byron Foster,</w:t>
            </w:r>
          </w:p>
        </w:tc>
        <w:tc>
          <w:tcPr>
            <w:tcW w:w="5000" w:type="dxa"/>
            <w:vAlign w:val="bottom"/>
          </w:tcPr>
          <w:p>
            <w:pPr>
              <w:spacing w:after="0"/>
              <w:rPr>
                <w:sz w:val="11"/>
                <w:szCs w:val="11"/>
                <w:color w:val="auto"/>
              </w:rPr>
            </w:pPr>
          </w:p>
        </w:tc>
      </w:tr>
      <w:tr>
        <w:trPr>
          <w:trHeight w:val="190"/>
        </w:trPr>
        <w:tc>
          <w:tcPr>
            <w:tcW w:w="1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tcPr>
          <w:p>
            <w:pPr>
              <w:jc w:val="center"/>
              <w:ind w:right="2024"/>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5000" w:type="dxa"/>
            <w:vAlign w:val="bottom"/>
          </w:tcPr>
          <w:p>
            <w:pPr>
              <w:spacing w:after="0"/>
              <w:rPr>
                <w:sz w:val="16"/>
                <w:szCs w:val="16"/>
                <w:color w:val="auto"/>
              </w:rPr>
            </w:pPr>
          </w:p>
        </w:tc>
      </w:tr>
      <w:tr>
        <w:trPr>
          <w:trHeight w:val="38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w:t>
            </w:r>
          </w:p>
        </w:tc>
        <w:tc>
          <w:tcPr>
            <w:tcW w:w="3260" w:type="dxa"/>
            <w:vAlign w:val="bottom"/>
            <w:tcBorders>
              <w:bottom w:val="single" w:sz="8" w:color="auto"/>
            </w:tcBorders>
            <w:gridSpan w:val="2"/>
          </w:tcPr>
          <w:p>
            <w:pPr>
              <w:jc w:val="center"/>
              <w:ind w:right="1824"/>
              <w:spacing w:after="0"/>
              <w:rPr>
                <w:sz w:val="20"/>
                <w:szCs w:val="20"/>
                <w:color w:val="auto"/>
              </w:rPr>
            </w:pPr>
            <w:r>
              <w:rPr>
                <w:rFonts w:ascii="Times New Roman" w:cs="Times New Roman" w:eastAsia="Times New Roman" w:hAnsi="Times New Roman"/>
                <w:sz w:val="18"/>
                <w:szCs w:val="18"/>
                <w:color w:val="auto"/>
                <w:w w:val="98"/>
              </w:rPr>
              <w:t>BRIAN P. HEHIR</w:t>
            </w: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2026</w:t>
            </w:r>
          </w:p>
        </w:tc>
      </w:tr>
      <w:tr>
        <w:trPr>
          <w:trHeight w:val="131"/>
        </w:trPr>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00" w:type="dxa"/>
            <w:vAlign w:val="bottom"/>
          </w:tcPr>
          <w:p>
            <w:pPr>
              <w:jc w:val="center"/>
              <w:ind w:right="2024"/>
              <w:spacing w:after="0" w:line="131" w:lineRule="exact"/>
              <w:rPr>
                <w:sz w:val="20"/>
                <w:szCs w:val="20"/>
                <w:color w:val="auto"/>
              </w:rPr>
            </w:pPr>
            <w:r>
              <w:rPr>
                <w:rFonts w:ascii="Times New Roman" w:cs="Times New Roman" w:eastAsia="Times New Roman" w:hAnsi="Times New Roman"/>
                <w:sz w:val="14"/>
                <w:szCs w:val="14"/>
                <w:b w:val="1"/>
                <w:bCs w:val="1"/>
                <w:color w:val="auto"/>
              </w:rPr>
              <w:t>Brian P. Hehir,</w:t>
            </w:r>
          </w:p>
        </w:tc>
        <w:tc>
          <w:tcPr>
            <w:tcW w:w="5000" w:type="dxa"/>
            <w:vAlign w:val="bottom"/>
          </w:tcPr>
          <w:p>
            <w:pPr>
              <w:spacing w:after="0"/>
              <w:rPr>
                <w:sz w:val="11"/>
                <w:szCs w:val="11"/>
                <w:color w:val="auto"/>
              </w:rPr>
            </w:pPr>
          </w:p>
        </w:tc>
      </w:tr>
      <w:tr>
        <w:trPr>
          <w:trHeight w:val="190"/>
        </w:trPr>
        <w:tc>
          <w:tcPr>
            <w:tcW w:w="1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tcPr>
          <w:p>
            <w:pPr>
              <w:jc w:val="center"/>
              <w:ind w:right="2024"/>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5000" w:type="dxa"/>
            <w:vAlign w:val="bottom"/>
          </w:tcPr>
          <w:p>
            <w:pPr>
              <w:spacing w:after="0"/>
              <w:rPr>
                <w:sz w:val="16"/>
                <w:szCs w:val="16"/>
                <w:color w:val="auto"/>
              </w:rPr>
            </w:pPr>
          </w:p>
        </w:tc>
      </w:tr>
      <w:tr>
        <w:trPr>
          <w:trHeight w:val="44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w:t>
            </w:r>
          </w:p>
        </w:tc>
        <w:tc>
          <w:tcPr>
            <w:tcW w:w="3260" w:type="dxa"/>
            <w:vAlign w:val="bottom"/>
            <w:tcBorders>
              <w:bottom w:val="single" w:sz="8" w:color="auto"/>
            </w:tcBorders>
            <w:gridSpan w:val="2"/>
          </w:tcPr>
          <w:p>
            <w:pPr>
              <w:jc w:val="center"/>
              <w:ind w:right="1844"/>
              <w:spacing w:after="0"/>
              <w:rPr>
                <w:sz w:val="20"/>
                <w:szCs w:val="20"/>
                <w:color w:val="auto"/>
              </w:rPr>
            </w:pPr>
            <w:r>
              <w:rPr>
                <w:rFonts w:ascii="Times New Roman" w:cs="Times New Roman" w:eastAsia="Times New Roman" w:hAnsi="Times New Roman"/>
                <w:sz w:val="18"/>
                <w:szCs w:val="18"/>
                <w:color w:val="auto"/>
                <w:w w:val="99"/>
              </w:rPr>
              <w:t>ANN R. KLEE</w:t>
            </w: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2026</w:t>
            </w:r>
          </w:p>
        </w:tc>
      </w:tr>
      <w:tr>
        <w:trPr>
          <w:trHeight w:val="131"/>
        </w:trPr>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00" w:type="dxa"/>
            <w:vAlign w:val="bottom"/>
          </w:tcPr>
          <w:p>
            <w:pPr>
              <w:jc w:val="center"/>
              <w:ind w:right="2004"/>
              <w:spacing w:after="0" w:line="131" w:lineRule="exact"/>
              <w:rPr>
                <w:sz w:val="20"/>
                <w:szCs w:val="20"/>
                <w:color w:val="auto"/>
              </w:rPr>
            </w:pPr>
            <w:r>
              <w:rPr>
                <w:rFonts w:ascii="Times New Roman" w:cs="Times New Roman" w:eastAsia="Times New Roman" w:hAnsi="Times New Roman"/>
                <w:sz w:val="14"/>
                <w:szCs w:val="14"/>
                <w:b w:val="1"/>
                <w:bCs w:val="1"/>
                <w:color w:val="auto"/>
              </w:rPr>
              <w:t>Ann R. Klee,</w:t>
            </w:r>
          </w:p>
        </w:tc>
        <w:tc>
          <w:tcPr>
            <w:tcW w:w="5000" w:type="dxa"/>
            <w:vAlign w:val="bottom"/>
          </w:tcPr>
          <w:p>
            <w:pPr>
              <w:spacing w:after="0"/>
              <w:rPr>
                <w:sz w:val="11"/>
                <w:szCs w:val="11"/>
                <w:color w:val="auto"/>
              </w:rPr>
            </w:pPr>
          </w:p>
        </w:tc>
      </w:tr>
      <w:tr>
        <w:trPr>
          <w:trHeight w:val="190"/>
        </w:trPr>
        <w:tc>
          <w:tcPr>
            <w:tcW w:w="1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tcPr>
          <w:p>
            <w:pPr>
              <w:jc w:val="center"/>
              <w:ind w:right="2024"/>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5000" w:type="dxa"/>
            <w:vAlign w:val="bottom"/>
          </w:tcPr>
          <w:p>
            <w:pPr>
              <w:spacing w:after="0"/>
              <w:rPr>
                <w:sz w:val="16"/>
                <w:szCs w:val="16"/>
                <w:color w:val="auto"/>
              </w:rPr>
            </w:pPr>
          </w:p>
        </w:tc>
      </w:tr>
      <w:tr>
        <w:trPr>
          <w:trHeight w:val="40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w w:val="99"/>
              </w:rPr>
              <w:t>/S/</w:t>
            </w:r>
          </w:p>
        </w:tc>
        <w:tc>
          <w:tcPr>
            <w:tcW w:w="3100" w:type="dxa"/>
            <w:vAlign w:val="bottom"/>
            <w:tcBorders>
              <w:bottom w:val="single" w:sz="8" w:color="auto"/>
            </w:tcBorders>
          </w:tcPr>
          <w:p>
            <w:pPr>
              <w:jc w:val="center"/>
              <w:ind w:right="1644"/>
              <w:spacing w:after="0"/>
              <w:rPr>
                <w:sz w:val="20"/>
                <w:szCs w:val="20"/>
                <w:color w:val="auto"/>
              </w:rPr>
            </w:pPr>
            <w:r>
              <w:rPr>
                <w:rFonts w:ascii="Times New Roman" w:cs="Times New Roman" w:eastAsia="Times New Roman" w:hAnsi="Times New Roman"/>
                <w:sz w:val="18"/>
                <w:szCs w:val="18"/>
                <w:color w:val="auto"/>
              </w:rPr>
              <w:t>JUAN PEREZ</w:t>
            </w: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2026</w:t>
            </w:r>
          </w:p>
        </w:tc>
      </w:tr>
      <w:tr>
        <w:trPr>
          <w:trHeight w:val="131"/>
        </w:trPr>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00" w:type="dxa"/>
            <w:vAlign w:val="bottom"/>
          </w:tcPr>
          <w:p>
            <w:pPr>
              <w:jc w:val="center"/>
              <w:ind w:right="2024"/>
              <w:spacing w:after="0" w:line="131" w:lineRule="exact"/>
              <w:rPr>
                <w:sz w:val="20"/>
                <w:szCs w:val="20"/>
                <w:color w:val="auto"/>
              </w:rPr>
            </w:pPr>
            <w:r>
              <w:rPr>
                <w:rFonts w:ascii="Times New Roman" w:cs="Times New Roman" w:eastAsia="Times New Roman" w:hAnsi="Times New Roman"/>
                <w:sz w:val="14"/>
                <w:szCs w:val="14"/>
                <w:b w:val="1"/>
                <w:bCs w:val="1"/>
                <w:color w:val="auto"/>
              </w:rPr>
              <w:t>Juan Perez,</w:t>
            </w:r>
          </w:p>
        </w:tc>
        <w:tc>
          <w:tcPr>
            <w:tcW w:w="5000" w:type="dxa"/>
            <w:vAlign w:val="bottom"/>
          </w:tcPr>
          <w:p>
            <w:pPr>
              <w:spacing w:after="0"/>
              <w:rPr>
                <w:sz w:val="11"/>
                <w:szCs w:val="11"/>
                <w:color w:val="auto"/>
              </w:rPr>
            </w:pPr>
          </w:p>
        </w:tc>
      </w:tr>
      <w:tr>
        <w:trPr>
          <w:trHeight w:val="190"/>
        </w:trPr>
        <w:tc>
          <w:tcPr>
            <w:tcW w:w="1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tcPr>
          <w:p>
            <w:pPr>
              <w:jc w:val="center"/>
              <w:ind w:right="2024"/>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50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20"/>
          </w:cols>
          <w:pgMar w:left="320" w:top="1107" w:right="35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SEPARATION AGREEMENT &amp; RELEASE</w:t>
      </w: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This Separation Agreement is between Wabtec Corporation (the “Company”) and Alicia Hammersmith (the “Executive”).</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WHEREAS, Executive is employed by the Company as President, Services;</w:t>
      </w:r>
    </w:p>
    <w:p>
      <w:pPr>
        <w:spacing w:after="0" w:line="260" w:lineRule="exact"/>
        <w:rPr>
          <w:sz w:val="20"/>
          <w:szCs w:val="20"/>
          <w:color w:val="auto"/>
        </w:rPr>
      </w:pPr>
    </w:p>
    <w:p>
      <w:pPr>
        <w:jc w:val="both"/>
        <w:ind w:firstLine="387"/>
        <w:spacing w:after="0" w:line="252" w:lineRule="auto"/>
        <w:rPr>
          <w:sz w:val="20"/>
          <w:szCs w:val="20"/>
          <w:color w:val="auto"/>
        </w:rPr>
      </w:pPr>
      <w:r>
        <w:rPr>
          <w:rFonts w:ascii="Times New Roman" w:cs="Times New Roman" w:eastAsia="Times New Roman" w:hAnsi="Times New Roman"/>
          <w:sz w:val="22"/>
          <w:szCs w:val="22"/>
          <w:color w:val="auto"/>
        </w:rPr>
        <w:t>WHEREAS, both Executive and the Company have read and understand the terms of this Agreement, along with the Executive’s Severance and Employment Continuation Agreement signed in February 2023, and both Executive and the Company have been provided with reasonable opportunities to consult with their respective legal counsel prior to entering into this Agreement.</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NOW, THEREFORE, in consideration of the mutual promises and covenants set forth in this Agreement, the Company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agree as follows:</w:t>
      </w:r>
    </w:p>
    <w:p>
      <w:pPr>
        <w:spacing w:after="0" w:line="230" w:lineRule="exact"/>
        <w:rPr>
          <w:sz w:val="20"/>
          <w:szCs w:val="20"/>
          <w:color w:val="auto"/>
        </w:rPr>
      </w:pPr>
    </w:p>
    <w:p>
      <w:pPr>
        <w:jc w:val="both"/>
        <w:ind w:left="420" w:hanging="331"/>
        <w:spacing w:after="0" w:line="252" w:lineRule="auto"/>
        <w:tabs>
          <w:tab w:leader="none" w:pos="4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Separation Date/Salary Payments</w:t>
      </w:r>
      <w:r>
        <w:rPr>
          <w:rFonts w:ascii="Times New Roman" w:cs="Times New Roman" w:eastAsia="Times New Roman" w:hAnsi="Times New Roman"/>
          <w:sz w:val="22"/>
          <w:szCs w:val="22"/>
          <w:color w:val="auto"/>
        </w:rPr>
        <w:t>. The Executive shall continue to perform her regular full-time duties and responsibilities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an active employee and be paid her current salary at the Company’s regular pay intervals through December 31, 2025 (referred to as the “Separation Date”). On or prior to the Separation Date, Executive will also resign from all other positions Executive holds as an officer or director of the Company or any of its subsidiaries and affiliates. Executive will promptly execute such documents and take such actions as may be necessary or reasonably requested by the Company or any of its subsidiaries or affiliates to effectuate or memorialize the resignation of such positions.</w:t>
      </w:r>
    </w:p>
    <w:p>
      <w:pPr>
        <w:spacing w:after="0" w:line="201" w:lineRule="exact"/>
        <w:rPr>
          <w:rFonts w:ascii="Times New Roman" w:cs="Times New Roman" w:eastAsia="Times New Roman" w:hAnsi="Times New Roman"/>
          <w:sz w:val="22"/>
          <w:szCs w:val="22"/>
          <w:color w:val="auto"/>
        </w:rPr>
      </w:pPr>
    </w:p>
    <w:p>
      <w:pPr>
        <w:jc w:val="both"/>
        <w:ind w:left="420" w:hanging="331"/>
        <w:spacing w:after="0" w:line="254" w:lineRule="auto"/>
        <w:tabs>
          <w:tab w:leader="none" w:pos="4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Severance Benefits</w:t>
      </w:r>
      <w:r>
        <w:rPr>
          <w:rFonts w:ascii="Times New Roman" w:cs="Times New Roman" w:eastAsia="Times New Roman" w:hAnsi="Times New Roman"/>
          <w:sz w:val="22"/>
          <w:szCs w:val="22"/>
          <w:color w:val="auto"/>
        </w:rPr>
        <w:t>. In consideration for Executive’s (i) execution of this Agreement on December 15, 2025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Supplemental Release (“Supplemental Release”) on the Separation Date, (ii) continuing employment with the Company through the Separation Date, (iii) execution of the release of claims in Paragraph 12 below, (iv) non-revocation of the Agreement, and (v) compliance with the post-employment restrictions set forth below, Executive will receive the following (collectively, the “Severance Benefits”):</w:t>
      </w:r>
    </w:p>
    <w:p>
      <w:pPr>
        <w:spacing w:after="0" w:line="200" w:lineRule="exact"/>
        <w:rPr>
          <w:rFonts w:ascii="Times New Roman" w:cs="Times New Roman" w:eastAsia="Times New Roman" w:hAnsi="Times New Roman"/>
          <w:sz w:val="22"/>
          <w:szCs w:val="22"/>
          <w:color w:val="auto"/>
        </w:rPr>
      </w:pPr>
    </w:p>
    <w:p>
      <w:pPr>
        <w:jc w:val="both"/>
        <w:ind w:left="900" w:hanging="325"/>
        <w:spacing w:after="0" w:line="259" w:lineRule="auto"/>
        <w:tabs>
          <w:tab w:leader="none" w:pos="888"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Severance</w:t>
      </w:r>
      <w:r>
        <w:rPr>
          <w:rFonts w:ascii="Times New Roman" w:cs="Times New Roman" w:eastAsia="Times New Roman" w:hAnsi="Times New Roman"/>
          <w:sz w:val="22"/>
          <w:szCs w:val="22"/>
          <w:color w:val="auto"/>
        </w:rPr>
        <w:t>. On the 61st day following the Separation Date, the Company will pay Executive a lump sum cash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equal to $1,219,000.00, which equals one and half (1.5) times the sum of (a) Executive’s annual Base Salary of $530,000.00 and (b) Executive’s target bonus amount, which is $424,000.00.</w:t>
      </w:r>
    </w:p>
    <w:p>
      <w:pPr>
        <w:spacing w:after="0" w:line="193" w:lineRule="exact"/>
        <w:rPr>
          <w:rFonts w:ascii="Times New Roman" w:cs="Times New Roman" w:eastAsia="Times New Roman" w:hAnsi="Times New Roman"/>
          <w:sz w:val="22"/>
          <w:szCs w:val="22"/>
          <w:color w:val="auto"/>
        </w:rPr>
      </w:pPr>
    </w:p>
    <w:p>
      <w:pPr>
        <w:ind w:left="900" w:hanging="325"/>
        <w:spacing w:after="0" w:line="287" w:lineRule="auto"/>
        <w:tabs>
          <w:tab w:leader="none" w:pos="9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Benefits Payment</w:t>
      </w:r>
      <w:r>
        <w:rPr>
          <w:rFonts w:ascii="Times New Roman" w:cs="Times New Roman" w:eastAsia="Times New Roman" w:hAnsi="Times New Roman"/>
          <w:sz w:val="22"/>
          <w:szCs w:val="22"/>
          <w:color w:val="auto"/>
        </w:rPr>
        <w:t>. On the 61st day following the Separation Date, the Company will pay a lump sum of $35,639.00,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equals the Monthly Benefits Cost multiplied by 18 months.</w:t>
      </w:r>
    </w:p>
    <w:p>
      <w:pPr>
        <w:spacing w:after="0" w:line="164" w:lineRule="exact"/>
        <w:rPr>
          <w:rFonts w:ascii="Times New Roman" w:cs="Times New Roman" w:eastAsia="Times New Roman" w:hAnsi="Times New Roman"/>
          <w:sz w:val="22"/>
          <w:szCs w:val="22"/>
          <w:color w:val="auto"/>
        </w:rPr>
      </w:pPr>
    </w:p>
    <w:p>
      <w:pPr>
        <w:ind w:left="900" w:right="60" w:hanging="325"/>
        <w:spacing w:after="0" w:line="259" w:lineRule="auto"/>
        <w:tabs>
          <w:tab w:leader="none" w:pos="888"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Executive Incentive Plan</w:t>
      </w:r>
      <w:r>
        <w:rPr>
          <w:rFonts w:ascii="Times New Roman" w:cs="Times New Roman" w:eastAsia="Times New Roman" w:hAnsi="Times New Roman"/>
          <w:sz w:val="22"/>
          <w:szCs w:val="22"/>
          <w:color w:val="auto"/>
        </w:rPr>
        <w:t>. The Company will pay Executive her 2025 prorated EIP bonus. This payment will be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the time of the normal bonus payments, no later than March 15, 2026. The bonus calculation will be based, in the Company’s sole</w:t>
      </w:r>
    </w:p>
    <w:p>
      <w:pPr>
        <w:sectPr>
          <w:pgSz w:w="11900" w:h="16838" w:orient="portrait"/>
          <w:cols w:equalWidth="0" w:num="1">
            <w:col w:w="11240"/>
          </w:cols>
          <w:pgMar w:left="320" w:top="581" w:right="339" w:bottom="1440" w:gutter="0" w:footer="0" w:header="0"/>
        </w:sectPr>
      </w:pPr>
    </w:p>
    <w:bookmarkStart w:id="92" w:name="page93"/>
    <w:bookmarkEnd w:id="92"/>
    <w:p>
      <w:pPr>
        <w:ind w:left="811"/>
        <w:spacing w:after="0"/>
        <w:rPr>
          <w:sz w:val="20"/>
          <w:szCs w:val="20"/>
          <w:color w:val="auto"/>
        </w:rPr>
      </w:pPr>
      <w:r>
        <w:rPr>
          <w:rFonts w:ascii="Times New Roman" w:cs="Times New Roman" w:eastAsia="Times New Roman" w:hAnsi="Times New Roman"/>
          <w:sz w:val="22"/>
          <w:szCs w:val="22"/>
          <w:color w:val="auto"/>
        </w:rPr>
        <w:t>discretion, on the Company’s overall performance and the overall terms of the Company’s bonus program.</w:t>
      </w:r>
    </w:p>
    <w:p>
      <w:pPr>
        <w:spacing w:after="0" w:line="243" w:lineRule="exact"/>
        <w:rPr>
          <w:sz w:val="20"/>
          <w:szCs w:val="20"/>
          <w:color w:val="auto"/>
        </w:rPr>
      </w:pPr>
    </w:p>
    <w:p>
      <w:pPr>
        <w:ind w:left="811" w:hanging="325"/>
        <w:spacing w:after="0" w:line="275" w:lineRule="auto"/>
        <w:tabs>
          <w:tab w:leader="none" w:pos="811"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Transition Costs</w:t>
      </w:r>
      <w:r>
        <w:rPr>
          <w:rFonts w:ascii="Times New Roman" w:cs="Times New Roman" w:eastAsia="Times New Roman" w:hAnsi="Times New Roman"/>
          <w:sz w:val="22"/>
          <w:szCs w:val="22"/>
          <w:color w:val="auto"/>
        </w:rPr>
        <w:t>. On the 61st day following the Separation Date, the Company will pay a lump sum cash amount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$50,000.00 to defray transition costs.</w:t>
      </w:r>
    </w:p>
    <w:p>
      <w:pPr>
        <w:spacing w:after="0" w:line="189" w:lineRule="exact"/>
        <w:rPr>
          <w:rFonts w:ascii="Times New Roman" w:cs="Times New Roman" w:eastAsia="Times New Roman" w:hAnsi="Times New Roman"/>
          <w:sz w:val="22"/>
          <w:szCs w:val="22"/>
          <w:color w:val="auto"/>
        </w:rPr>
      </w:pPr>
    </w:p>
    <w:p>
      <w:pPr>
        <w:ind w:left="811" w:hanging="325"/>
        <w:spacing w:after="0" w:line="275" w:lineRule="auto"/>
        <w:tabs>
          <w:tab w:leader="none" w:pos="799"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Stock Options</w:t>
      </w:r>
      <w:r>
        <w:rPr>
          <w:rFonts w:ascii="Times New Roman" w:cs="Times New Roman" w:eastAsia="Times New Roman" w:hAnsi="Times New Roman"/>
          <w:sz w:val="22"/>
          <w:szCs w:val="22"/>
          <w:color w:val="auto"/>
        </w:rPr>
        <w:t>. The non-statutory stock options granted to Executive have vested. Executive can exercise all vested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options until the earlier of their expiration date(s) or the end of 3 years from the Separation Date.</w:t>
      </w:r>
    </w:p>
    <w:p>
      <w:pPr>
        <w:spacing w:after="0" w:line="176" w:lineRule="exact"/>
        <w:rPr>
          <w:rFonts w:ascii="Times New Roman" w:cs="Times New Roman" w:eastAsia="Times New Roman" w:hAnsi="Times New Roman"/>
          <w:sz w:val="22"/>
          <w:szCs w:val="22"/>
          <w:color w:val="auto"/>
        </w:rPr>
      </w:pPr>
    </w:p>
    <w:p>
      <w:pPr>
        <w:jc w:val="both"/>
        <w:ind w:left="811" w:hanging="325"/>
        <w:spacing w:after="0" w:line="259" w:lineRule="auto"/>
        <w:tabs>
          <w:tab w:leader="none" w:pos="80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Restricted Stock Awards or Units (RSAs/RSUs)</w:t>
      </w:r>
      <w:r>
        <w:rPr>
          <w:rFonts w:ascii="Times New Roman" w:cs="Times New Roman" w:eastAsia="Times New Roman" w:hAnsi="Times New Roman"/>
          <w:sz w:val="22"/>
          <w:szCs w:val="22"/>
          <w:color w:val="auto"/>
        </w:rPr>
        <w:t>. The unvested awards or units which represent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of the Company subject to Restricted Stock Agreements granted to Employee will continue to vest in accordance with the original vesting schedule.</w:t>
      </w:r>
    </w:p>
    <w:p>
      <w:pPr>
        <w:spacing w:after="0" w:line="206" w:lineRule="exact"/>
        <w:rPr>
          <w:rFonts w:ascii="Times New Roman" w:cs="Times New Roman" w:eastAsia="Times New Roman" w:hAnsi="Times New Roman"/>
          <w:sz w:val="22"/>
          <w:szCs w:val="22"/>
          <w:color w:val="auto"/>
        </w:rPr>
      </w:pPr>
    </w:p>
    <w:p>
      <w:pPr>
        <w:jc w:val="both"/>
        <w:ind w:left="811" w:hanging="325"/>
        <w:spacing w:after="0" w:line="250" w:lineRule="auto"/>
        <w:tabs>
          <w:tab w:leader="none" w:pos="811"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Performance Stock Units (PSUs)</w:t>
      </w:r>
      <w:r>
        <w:rPr>
          <w:rFonts w:ascii="Times New Roman" w:cs="Times New Roman" w:eastAsia="Times New Roman" w:hAnsi="Times New Roman"/>
          <w:sz w:val="22"/>
          <w:szCs w:val="22"/>
          <w:color w:val="auto"/>
        </w:rPr>
        <w:t>. With respect to the PSUs of the Company granted to her, Executive will be entitled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receive an award paid under the terms of the applicable award agreement and the Company’s 2011 Stock Incentive Plan governing such PSUs, a number of shares of common stock of the Company equal to the product of (A) the target award of PSUs the employee was granted, multiplied by, (B) the final plan payout percentage based on the performance criteria established for the plan. The payout will be based on factors set forth in the original performance award granted to the Executive and the payout, if any, will be paid at the end of the PSU award period in accordance with the terms of the plan.</w:t>
      </w:r>
    </w:p>
    <w:p>
      <w:pPr>
        <w:spacing w:after="0" w:line="207" w:lineRule="exact"/>
        <w:rPr>
          <w:rFonts w:ascii="Times New Roman" w:cs="Times New Roman" w:eastAsia="Times New Roman" w:hAnsi="Times New Roman"/>
          <w:sz w:val="22"/>
          <w:szCs w:val="22"/>
          <w:color w:val="auto"/>
        </w:rPr>
      </w:pPr>
    </w:p>
    <w:p>
      <w:pPr>
        <w:jc w:val="both"/>
        <w:ind w:left="811" w:hanging="325"/>
        <w:spacing w:after="0" w:line="266" w:lineRule="auto"/>
        <w:tabs>
          <w:tab w:leader="none" w:pos="811"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 Case of Death</w:t>
      </w:r>
      <w:r>
        <w:rPr>
          <w:rFonts w:ascii="Times New Roman" w:cs="Times New Roman" w:eastAsia="Times New Roman" w:hAnsi="Times New Roman"/>
          <w:sz w:val="21"/>
          <w:szCs w:val="21"/>
          <w:color w:val="auto"/>
        </w:rPr>
        <w:t>. Notwithstanding the foregoing, if Executive dies prior to the Separation Date, the Severance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Benefits above shall vest and be paid to Executive’s surviving spouse, or if Executive has no surviving spouse, Executive’s relevant trust agreement, at the same time and in such amounts as otherwise would have been received by Executive; provided Executive’s surviving spouse or the executor of Executive’s estate, as applicable, executes, and does not revoke, the Release (with such changes thereto as the Company deems necessary to reflect that Executive’s surviving spouse or the executor of Executive’s estate, as applicable, and not Executive, is executing such Release).</w:t>
      </w:r>
    </w:p>
    <w:p>
      <w:pPr>
        <w:spacing w:after="0" w:line="189" w:lineRule="exact"/>
        <w:rPr>
          <w:rFonts w:ascii="Times New Roman" w:cs="Times New Roman" w:eastAsia="Times New Roman" w:hAnsi="Times New Roman"/>
          <w:sz w:val="21"/>
          <w:szCs w:val="21"/>
          <w:color w:val="auto"/>
        </w:rPr>
      </w:pPr>
    </w:p>
    <w:p>
      <w:pPr>
        <w:jc w:val="both"/>
        <w:ind w:left="811" w:hanging="325"/>
        <w:spacing w:after="0" w:line="259" w:lineRule="auto"/>
        <w:tabs>
          <w:tab w:leader="none" w:pos="80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Full Satisfaction</w:t>
      </w:r>
      <w:r>
        <w:rPr>
          <w:rFonts w:ascii="Times New Roman" w:cs="Times New Roman" w:eastAsia="Times New Roman" w:hAnsi="Times New Roman"/>
          <w:sz w:val="22"/>
          <w:szCs w:val="22"/>
          <w:color w:val="auto"/>
        </w:rPr>
        <w:t>. The Severance Benefits are in full satisfaction of all payment obligations of the Company and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subsidiaries under the Company’s Stock Incentive Plans (“Equity Plans”), the Company Long Term incentive Plan and other compensation arrangements of the Company and its subsidiaries.</w:t>
      </w:r>
    </w:p>
    <w:p>
      <w:pPr>
        <w:spacing w:after="0" w:line="206" w:lineRule="exact"/>
        <w:rPr>
          <w:rFonts w:ascii="Times New Roman" w:cs="Times New Roman" w:eastAsia="Times New Roman" w:hAnsi="Times New Roman"/>
          <w:sz w:val="22"/>
          <w:szCs w:val="22"/>
          <w:color w:val="auto"/>
        </w:rPr>
      </w:pPr>
    </w:p>
    <w:p>
      <w:pPr>
        <w:jc w:val="both"/>
        <w:ind w:left="331" w:hanging="331"/>
        <w:spacing w:after="0" w:line="277" w:lineRule="auto"/>
        <w:tabs>
          <w:tab w:leader="none" w:pos="331"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Benefits</w:t>
      </w:r>
      <w:r>
        <w:rPr>
          <w:rFonts w:ascii="Times New Roman" w:cs="Times New Roman" w:eastAsia="Times New Roman" w:hAnsi="Times New Roman"/>
          <w:sz w:val="21"/>
          <w:szCs w:val="21"/>
          <w:color w:val="auto"/>
        </w:rPr>
        <w:t>. Up until the Separation Date, Executive’s participation in the Company benefit plans (e.g., Wabtec Savings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medical, life insurance) will be on the same terms as, and in accordance with, the provisions of the various Company benefit plans for a similarly situated active employee. Pay for the Severance Benefits above will not be considered under such plans.</w:t>
      </w:r>
    </w:p>
    <w:p>
      <w:pPr>
        <w:sectPr>
          <w:pgSz w:w="11900" w:h="16838" w:orient="portrait"/>
          <w:cols w:equalWidth="0" w:num="1">
            <w:col w:w="11151"/>
          </w:cols>
          <w:pgMar w:left="409" w:top="1422" w:right="339" w:bottom="1440" w:gutter="0" w:footer="0" w:header="0"/>
        </w:sectPr>
      </w:pPr>
    </w:p>
    <w:bookmarkStart w:id="93" w:name="page94"/>
    <w:bookmarkEnd w:id="93"/>
    <w:p>
      <w:pPr>
        <w:spacing w:after="0" w:line="225" w:lineRule="exact"/>
        <w:rPr>
          <w:sz w:val="20"/>
          <w:szCs w:val="20"/>
          <w:color w:val="auto"/>
        </w:rPr>
      </w:pPr>
    </w:p>
    <w:p>
      <w:pPr>
        <w:jc w:val="both"/>
        <w:ind w:left="891"/>
        <w:spacing w:after="0" w:line="253" w:lineRule="auto"/>
        <w:rPr>
          <w:sz w:val="20"/>
          <w:szCs w:val="20"/>
          <w:color w:val="auto"/>
        </w:rPr>
      </w:pPr>
      <w:r>
        <w:rPr>
          <w:rFonts w:ascii="Times New Roman" w:cs="Times New Roman" w:eastAsia="Times New Roman" w:hAnsi="Times New Roman"/>
          <w:sz w:val="22"/>
          <w:szCs w:val="22"/>
          <w:color w:val="auto"/>
        </w:rPr>
        <w:t>After the Separation Date, the Executive may elect to continue health coverage under COBRA. If the Executive elects to continue health coverage under COBRA after the Separation Date, the Executive will be charged regular COBRA rates, and the Executive will be responsible for timely payment of such premiums directly to the Company’s COBRA administrator. Except as otherwise provided in this Paragraph, all of the Company’s regular COBRA rules and procedures will apply to such an election and coverage.</w:t>
      </w:r>
    </w:p>
    <w:p>
      <w:pPr>
        <w:spacing w:after="0" w:line="202" w:lineRule="exact"/>
        <w:rPr>
          <w:sz w:val="20"/>
          <w:szCs w:val="20"/>
          <w:color w:val="auto"/>
        </w:rPr>
      </w:pPr>
    </w:p>
    <w:p>
      <w:pPr>
        <w:jc w:val="both"/>
        <w:ind w:left="331" w:hanging="331"/>
        <w:spacing w:after="0" w:line="258" w:lineRule="auto"/>
        <w:tabs>
          <w:tab w:leader="none" w:pos="33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Paid time off</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understands and agrees that the compensation and/or benefits she is receiving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is inclusive of all vacation, permissive time off, personal illness, personal business, or holiday pay to which the Executive is or may be entitled, including under any of the Company’s paid time off plans or programs. Executive will not receive any other payments for such plans or programs.</w:t>
      </w:r>
    </w:p>
    <w:p>
      <w:pPr>
        <w:spacing w:after="0" w:line="194" w:lineRule="exact"/>
        <w:rPr>
          <w:rFonts w:ascii="Times New Roman" w:cs="Times New Roman" w:eastAsia="Times New Roman" w:hAnsi="Times New Roman"/>
          <w:sz w:val="22"/>
          <w:szCs w:val="22"/>
          <w:color w:val="auto"/>
        </w:rPr>
      </w:pPr>
    </w:p>
    <w:p>
      <w:pPr>
        <w:jc w:val="both"/>
        <w:ind w:left="331" w:hanging="331"/>
        <w:spacing w:after="0" w:line="259" w:lineRule="auto"/>
        <w:tabs>
          <w:tab w:leader="none" w:pos="33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Life Insurance</w:t>
      </w:r>
      <w:r>
        <w:rPr>
          <w:rFonts w:ascii="Times New Roman" w:cs="Times New Roman" w:eastAsia="Times New Roman" w:hAnsi="Times New Roman"/>
          <w:sz w:val="22"/>
          <w:szCs w:val="22"/>
          <w:color w:val="auto"/>
        </w:rPr>
        <w:t>. Company paid life insurance and optional supplemental life insurance will end on the last day worked.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has the option to convert the life insurance to an individually owned policy at Executive’s expense during the 31-day conversion period.</w:t>
      </w:r>
    </w:p>
    <w:p>
      <w:pPr>
        <w:spacing w:after="0" w:line="193" w:lineRule="exact"/>
        <w:rPr>
          <w:rFonts w:ascii="Times New Roman" w:cs="Times New Roman" w:eastAsia="Times New Roman" w:hAnsi="Times New Roman"/>
          <w:sz w:val="22"/>
          <w:szCs w:val="22"/>
          <w:color w:val="auto"/>
        </w:rPr>
      </w:pPr>
    </w:p>
    <w:p>
      <w:pPr>
        <w:ind w:left="331" w:hanging="331"/>
        <w:spacing w:after="0"/>
        <w:tabs>
          <w:tab w:leader="none" w:pos="33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Executive Acknowledgements about Consideration/Other Payments</w:t>
      </w:r>
      <w:r>
        <w:rPr>
          <w:rFonts w:ascii="Times New Roman" w:cs="Times New Roman" w:eastAsia="Times New Roman" w:hAnsi="Times New Roman"/>
          <w:sz w:val="22"/>
          <w:szCs w:val="22"/>
          <w:b w:val="1"/>
          <w:bCs w:val="1"/>
          <w:color w:val="auto"/>
        </w:rPr>
        <w:t>.</w:t>
      </w:r>
    </w:p>
    <w:p>
      <w:pPr>
        <w:spacing w:after="0" w:line="250" w:lineRule="exact"/>
        <w:rPr>
          <w:rFonts w:ascii="Times New Roman" w:cs="Times New Roman" w:eastAsia="Times New Roman" w:hAnsi="Times New Roman"/>
          <w:sz w:val="22"/>
          <w:szCs w:val="22"/>
          <w:color w:val="auto"/>
        </w:rPr>
      </w:pPr>
    </w:p>
    <w:p>
      <w:pPr>
        <w:jc w:val="both"/>
        <w:ind w:left="811" w:hanging="325"/>
        <w:spacing w:after="0" w:line="253" w:lineRule="auto"/>
        <w:tabs>
          <w:tab w:leader="none" w:pos="799"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except as stated in this Agreement, she has otherwise received all wages, benefits, and compensation (including, but not limited to, any applicable overtime) due to her; she is not entitled to any further payments of any kind; and she is not otherwise entitled to the additional payments and benefits she is receiving as consideration for this Agreement. For purposes of clarity, Executive is still entitled to her deferred compensation pursuant to Wabtec’s policy on this subject.</w:t>
      </w:r>
    </w:p>
    <w:p>
      <w:pPr>
        <w:spacing w:after="0" w:line="205" w:lineRule="exact"/>
        <w:rPr>
          <w:rFonts w:ascii="Times New Roman" w:cs="Times New Roman" w:eastAsia="Times New Roman" w:hAnsi="Times New Roman"/>
          <w:sz w:val="22"/>
          <w:szCs w:val="22"/>
          <w:color w:val="auto"/>
        </w:rPr>
      </w:pPr>
    </w:p>
    <w:p>
      <w:pPr>
        <w:jc w:val="both"/>
        <w:ind w:left="811" w:hanging="325"/>
        <w:spacing w:after="0" w:line="256" w:lineRule="auto"/>
        <w:tabs>
          <w:tab w:leader="none" w:pos="811"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payments and benefits she receives under this Agreement are sufficient consideration in exchange for her obligations under this Agreement. In the event payments to Executive are adjusted as provided herein, Executive agrees that any adjusted payments received under this Agreement constitute sufficient consideration for this Agreement.</w:t>
      </w:r>
    </w:p>
    <w:p>
      <w:pPr>
        <w:spacing w:after="0" w:line="203" w:lineRule="exact"/>
        <w:rPr>
          <w:rFonts w:ascii="Times New Roman" w:cs="Times New Roman" w:eastAsia="Times New Roman" w:hAnsi="Times New Roman"/>
          <w:sz w:val="22"/>
          <w:szCs w:val="22"/>
          <w:color w:val="auto"/>
        </w:rPr>
      </w:pPr>
    </w:p>
    <w:p>
      <w:pPr>
        <w:ind w:left="791" w:hanging="305"/>
        <w:spacing w:after="0"/>
        <w:tabs>
          <w:tab w:leader="none" w:pos="791"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and benefits received under this Agreement shall be subject to applicable taxes and withholding.</w:t>
      </w:r>
    </w:p>
    <w:p>
      <w:pPr>
        <w:spacing w:after="0" w:line="242" w:lineRule="exact"/>
        <w:rPr>
          <w:rFonts w:ascii="Times New Roman" w:cs="Times New Roman" w:eastAsia="Times New Roman" w:hAnsi="Times New Roman"/>
          <w:sz w:val="22"/>
          <w:szCs w:val="22"/>
          <w:color w:val="auto"/>
        </w:rPr>
      </w:pPr>
    </w:p>
    <w:p>
      <w:pPr>
        <w:jc w:val="both"/>
        <w:ind w:left="331" w:hanging="331"/>
        <w:spacing w:after="0" w:line="269" w:lineRule="auto"/>
        <w:tabs>
          <w:tab w:leader="none" w:pos="331"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Effective Date of the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shall have seven (7) days from the date she signs this Agreement to revoke 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acceptance of this Agreement and all of its terms, including her rights under the ADEA if the Executive is over 40 years of age. To do so, she must submit a written revocation to the Company’s Chief Administrative Officer. If Executive revokes her consent to the waiver, all of the provisions of this Agreement shall be void and unenforceable. If Executive does not revoke her consent, Agreement will take effect on the day after the end of this revocation period (the “Effective Date”).</w:t>
      </w:r>
    </w:p>
    <w:p>
      <w:pPr>
        <w:sectPr>
          <w:pgSz w:w="11900" w:h="16838" w:orient="portrait"/>
          <w:cols w:equalWidth="0" w:num="1">
            <w:col w:w="11151"/>
          </w:cols>
          <w:pgMar w:left="409" w:top="1440" w:right="339" w:bottom="1440" w:gutter="0" w:footer="0" w:header="0"/>
        </w:sectPr>
      </w:pPr>
    </w:p>
    <w:bookmarkStart w:id="94" w:name="page95"/>
    <w:bookmarkEnd w:id="94"/>
    <w:p>
      <w:pPr>
        <w:ind w:left="412" w:hanging="331"/>
        <w:spacing w:after="0"/>
        <w:tabs>
          <w:tab w:leader="none" w:pos="41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Executive Representations</w:t>
      </w:r>
      <w:r>
        <w:rPr>
          <w:rFonts w:ascii="Times New Roman" w:cs="Times New Roman" w:eastAsia="Times New Roman" w:hAnsi="Times New Roman"/>
          <w:sz w:val="22"/>
          <w:szCs w:val="22"/>
          <w:color w:val="auto"/>
        </w:rPr>
        <w:t>. Executive hereby represents and acknowledges to the Company that:</w:t>
      </w:r>
    </w:p>
    <w:p>
      <w:pPr>
        <w:spacing w:after="0" w:line="31" w:lineRule="exact"/>
        <w:rPr>
          <w:rFonts w:ascii="Times New Roman" w:cs="Times New Roman" w:eastAsia="Times New Roman" w:hAnsi="Times New Roman"/>
          <w:sz w:val="22"/>
          <w:szCs w:val="22"/>
          <w:color w:val="auto"/>
        </w:rPr>
      </w:pPr>
    </w:p>
    <w:p>
      <w:pPr>
        <w:ind w:left="892" w:hanging="325"/>
        <w:spacing w:after="0" w:line="248" w:lineRule="auto"/>
        <w:tabs>
          <w:tab w:leader="none" w:pos="88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Attorney Consultation</w:t>
      </w:r>
      <w:r>
        <w:rPr>
          <w:rFonts w:ascii="Times New Roman" w:cs="Times New Roman" w:eastAsia="Times New Roman" w:hAnsi="Times New Roman"/>
          <w:sz w:val="22"/>
          <w:szCs w:val="22"/>
          <w:color w:val="auto"/>
        </w:rPr>
        <w:t>. The Company has advised Executive to consult with an attorney of her choosing prior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signing this Agreement;</w:t>
      </w:r>
    </w:p>
    <w:p>
      <w:pPr>
        <w:spacing w:after="0" w:line="218" w:lineRule="exact"/>
        <w:rPr>
          <w:rFonts w:ascii="Times New Roman" w:cs="Times New Roman" w:eastAsia="Times New Roman" w:hAnsi="Times New Roman"/>
          <w:sz w:val="22"/>
          <w:szCs w:val="22"/>
          <w:color w:val="auto"/>
        </w:rPr>
      </w:pPr>
    </w:p>
    <w:p>
      <w:pPr>
        <w:jc w:val="both"/>
        <w:ind w:left="892" w:hanging="325"/>
        <w:spacing w:after="0" w:line="253" w:lineRule="auto"/>
        <w:tabs>
          <w:tab w:leader="none" w:pos="892"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Time for Review</w:t>
      </w:r>
      <w:r>
        <w:rPr>
          <w:rFonts w:ascii="Times New Roman" w:cs="Times New Roman" w:eastAsia="Times New Roman" w:hAnsi="Times New Roman"/>
          <w:sz w:val="22"/>
          <w:szCs w:val="22"/>
          <w:color w:val="auto"/>
        </w:rPr>
        <w:t>. The Executive has had the opportunity to take at least TWENTY-ONE (21) days to consider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all of its terms, including if the Executive is over 40 years of age, the waiver of her rights under the Age Discrimination in Employment Act of 1967, as amended (“ADEA”), prior to signing this Agreement. If there is another time period for review covered under applicable law, then that time period for review applies;</w:t>
      </w:r>
    </w:p>
    <w:p>
      <w:pPr>
        <w:spacing w:after="0" w:line="202" w:lineRule="exact"/>
        <w:rPr>
          <w:rFonts w:ascii="Times New Roman" w:cs="Times New Roman" w:eastAsia="Times New Roman" w:hAnsi="Times New Roman"/>
          <w:sz w:val="22"/>
          <w:szCs w:val="22"/>
          <w:color w:val="auto"/>
        </w:rPr>
      </w:pPr>
    </w:p>
    <w:p>
      <w:pPr>
        <w:jc w:val="both"/>
        <w:ind w:left="892" w:hanging="325"/>
        <w:spacing w:after="0" w:line="258" w:lineRule="auto"/>
        <w:tabs>
          <w:tab w:leader="none" w:pos="88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Disclosure of Past and Present Claims</w:t>
      </w:r>
      <w:r>
        <w:rPr>
          <w:rFonts w:ascii="Times New Roman" w:cs="Times New Roman" w:eastAsia="Times New Roman" w:hAnsi="Times New Roman"/>
          <w:sz w:val="22"/>
          <w:szCs w:val="22"/>
          <w:color w:val="auto"/>
        </w:rPr>
        <w:t>. The Executive is not aware of (or has already disclosed to the Company)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in her possession or to which she has or had access relating to conduct by the Company or any of the Releasees that she has any reason to believe violates or may violate any domestic or foreign law or regulation, involves or may involve false claims to the United States, or violates or may violate Company policy in any respect.</w:t>
      </w:r>
    </w:p>
    <w:p>
      <w:pPr>
        <w:spacing w:after="0" w:line="194" w:lineRule="exact"/>
        <w:rPr>
          <w:rFonts w:ascii="Times New Roman" w:cs="Times New Roman" w:eastAsia="Times New Roman" w:hAnsi="Times New Roman"/>
          <w:sz w:val="22"/>
          <w:szCs w:val="22"/>
          <w:color w:val="auto"/>
        </w:rPr>
      </w:pPr>
    </w:p>
    <w:p>
      <w:pPr>
        <w:jc w:val="both"/>
        <w:ind w:left="892" w:hanging="325"/>
        <w:spacing w:after="0" w:line="258" w:lineRule="auto"/>
        <w:tabs>
          <w:tab w:leader="none" w:pos="892"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Meaning of Release</w:t>
      </w:r>
      <w:r>
        <w:rPr>
          <w:rFonts w:ascii="Times New Roman" w:cs="Times New Roman" w:eastAsia="Times New Roman" w:hAnsi="Times New Roman"/>
          <w:sz w:val="22"/>
          <w:szCs w:val="22"/>
          <w:color w:val="auto"/>
        </w:rPr>
        <w:t>. Executive understands that, by agreeing to the Release in Paragraph 12, she is giving up the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sue Releasees for any of the reasons outlined in the Release, subject to the terms of the Release. Executive understands that this Release applies to any claims known or unknown at the time she signs this Agreement unless otherwise excluded by the Release.</w:t>
      </w:r>
    </w:p>
    <w:p>
      <w:pPr>
        <w:spacing w:after="0" w:line="208" w:lineRule="exact"/>
        <w:rPr>
          <w:rFonts w:ascii="Times New Roman" w:cs="Times New Roman" w:eastAsia="Times New Roman" w:hAnsi="Times New Roman"/>
          <w:sz w:val="22"/>
          <w:szCs w:val="22"/>
          <w:color w:val="auto"/>
        </w:rPr>
      </w:pPr>
    </w:p>
    <w:p>
      <w:pPr>
        <w:jc w:val="both"/>
        <w:ind w:left="892" w:hanging="325"/>
        <w:spacing w:after="0" w:line="259" w:lineRule="auto"/>
        <w:tabs>
          <w:tab w:leader="none" w:pos="88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Company’s Reliance on Executive Representations</w:t>
      </w:r>
      <w:r>
        <w:rPr>
          <w:rFonts w:ascii="Times New Roman" w:cs="Times New Roman" w:eastAsia="Times New Roman" w:hAnsi="Times New Roman"/>
          <w:sz w:val="22"/>
          <w:szCs w:val="22"/>
          <w:color w:val="auto"/>
        </w:rPr>
        <w:t>. The Executive understands that the Company is entering into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in reliance on Executive’s representations and obligations contained in this Agreement, including but not limited to Executive’s Release.</w:t>
      </w:r>
    </w:p>
    <w:p>
      <w:pPr>
        <w:spacing w:after="0" w:line="193" w:lineRule="exact"/>
        <w:rPr>
          <w:rFonts w:ascii="Times New Roman" w:cs="Times New Roman" w:eastAsia="Times New Roman" w:hAnsi="Times New Roman"/>
          <w:sz w:val="22"/>
          <w:szCs w:val="22"/>
          <w:color w:val="auto"/>
        </w:rPr>
      </w:pPr>
    </w:p>
    <w:p>
      <w:pPr>
        <w:jc w:val="both"/>
        <w:ind w:left="412" w:hanging="331"/>
        <w:spacing w:after="0" w:line="242" w:lineRule="auto"/>
        <w:tabs>
          <w:tab w:leader="none" w:pos="41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 Information</w:t>
      </w:r>
      <w:r>
        <w:rPr>
          <w:rFonts w:ascii="Times New Roman" w:cs="Times New Roman" w:eastAsia="Times New Roman" w:hAnsi="Times New Roman"/>
          <w:sz w:val="22"/>
          <w:szCs w:val="22"/>
          <w:color w:val="auto"/>
        </w:rPr>
        <w:t>. The Executive acknowledges that she has obtained knowledge about confidential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Such information may include proprietary information, trade secrets of the Company, customer information, technical information about Company products, strategic plans of company businesses, price information, or employee information (hereinafter the “Confidential Information”).</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Executive agrees to never use, publish or otherwise disclose any Confidential Information to anyone. Executive understands that this includes, but is not limited to, any subsequent employer or competitor of the Company. The Executive understands that nothing herein prevents the Executive from disclosing a trade secret or other Confidential Information when reporting, in confidence, potential violations of law or regulation to U.S. government authorities, including but not limited to the Department of Justice and the Securities and Exchange Commission, or to a U.S. court. If the Executive has any question regarding what data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16459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56" w:lineRule="exact"/>
        <w:rPr>
          <w:sz w:val="20"/>
          <w:szCs w:val="20"/>
          <w:color w:val="auto"/>
        </w:rPr>
      </w:pPr>
    </w:p>
    <w:p>
      <w:pPr>
        <w:ind w:left="-8" w:firstLine="8"/>
        <w:spacing w:after="0" w:line="212" w:lineRule="auto"/>
        <w:tabs>
          <w:tab w:leader="none" w:pos="130" w:val="left"/>
        </w:tabs>
        <w:numPr>
          <w:ilvl w:val="0"/>
          <w:numId w:val="4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0"/>
          <w:szCs w:val="20"/>
          <w:color w:val="auto"/>
        </w:rPr>
        <w:t>Confidential Information does not include information regarding the Executive’s pay or other compensation earned or benefits received during her employment by the Company.</w:t>
      </w:r>
    </w:p>
    <w:p>
      <w:pPr>
        <w:sectPr>
          <w:pgSz w:w="11900" w:h="16838" w:orient="portrait"/>
          <w:cols w:equalWidth="0" w:num="1">
            <w:col w:w="11232"/>
          </w:cols>
          <w:pgMar w:left="328" w:top="1418" w:right="339" w:bottom="1440" w:gutter="0" w:footer="0" w:header="0"/>
        </w:sectPr>
      </w:pPr>
    </w:p>
    <w:bookmarkStart w:id="95" w:name="page96"/>
    <w:bookmarkEnd w:id="95"/>
    <w:p>
      <w:pPr>
        <w:ind w:left="331"/>
        <w:spacing w:after="0" w:line="271" w:lineRule="auto"/>
        <w:rPr>
          <w:sz w:val="20"/>
          <w:szCs w:val="20"/>
          <w:color w:val="auto"/>
        </w:rPr>
      </w:pPr>
      <w:r>
        <w:rPr>
          <w:rFonts w:ascii="Times New Roman" w:cs="Times New Roman" w:eastAsia="Times New Roman" w:hAnsi="Times New Roman"/>
          <w:sz w:val="22"/>
          <w:szCs w:val="22"/>
          <w:color w:val="auto"/>
        </w:rPr>
        <w:t>information would be considered by the Company to be Confidential Information subject to this provision, the Executive agrees to contact the Senior Vice President, Corporate Human Resources for written clarification.</w:t>
      </w:r>
    </w:p>
    <w:p>
      <w:pPr>
        <w:spacing w:after="0" w:line="181" w:lineRule="exact"/>
        <w:rPr>
          <w:sz w:val="20"/>
          <w:szCs w:val="20"/>
          <w:color w:val="auto"/>
        </w:rPr>
      </w:pPr>
    </w:p>
    <w:p>
      <w:pPr>
        <w:ind w:left="331" w:hanging="331"/>
        <w:spacing w:after="0" w:line="287" w:lineRule="auto"/>
        <w:tabs>
          <w:tab w:leader="none" w:pos="33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Indemnification and Director &amp; Officer Insurance Obligations</w:t>
      </w:r>
      <w:r>
        <w:rPr>
          <w:rFonts w:ascii="Times New Roman" w:cs="Times New Roman" w:eastAsia="Times New Roman" w:hAnsi="Times New Roman"/>
          <w:sz w:val="22"/>
          <w:szCs w:val="22"/>
          <w:color w:val="auto"/>
        </w:rPr>
        <w:t>. The Company reaffirms its obligations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already existing D&amp;O policies and obligations.</w:t>
      </w:r>
    </w:p>
    <w:p>
      <w:pPr>
        <w:spacing w:after="0" w:line="164" w:lineRule="exact"/>
        <w:rPr>
          <w:rFonts w:ascii="Times New Roman" w:cs="Times New Roman" w:eastAsia="Times New Roman" w:hAnsi="Times New Roman"/>
          <w:sz w:val="22"/>
          <w:szCs w:val="22"/>
          <w:color w:val="auto"/>
        </w:rPr>
      </w:pPr>
    </w:p>
    <w:p>
      <w:pPr>
        <w:jc w:val="both"/>
        <w:ind w:left="331" w:hanging="331"/>
        <w:spacing w:after="0" w:line="266" w:lineRule="auto"/>
        <w:tabs>
          <w:tab w:leader="none" w:pos="323"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Post-Employment Restrictive Covenants</w:t>
      </w:r>
      <w:r>
        <w:rPr>
          <w:rFonts w:ascii="Times New Roman" w:cs="Times New Roman" w:eastAsia="Times New Roman" w:hAnsi="Times New Roman"/>
          <w:sz w:val="21"/>
          <w:szCs w:val="21"/>
          <w:color w:val="auto"/>
        </w:rPr>
        <w:t>. Executive recognizes the legitimate business interests of the Company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protective its goodwill or other business interests and represents that the post-employment restrictions outlined in the Equity Plan, Award Agreements and Severance and Employment Continuation Agreement do not unduly restrict or curtail her legitimate efforts to earn a livelihood in light of the substantial consideration Executive will receive. The non-competition, non-solicitation (employee or customer) or non-interference covenants in any equity plans and award agreements will continue to apply to Executive after the Separation Date. Those covenants state and Executive agrees to the following:</w:t>
      </w:r>
    </w:p>
    <w:p>
      <w:pPr>
        <w:spacing w:after="0" w:line="190" w:lineRule="exact"/>
        <w:rPr>
          <w:sz w:val="20"/>
          <w:szCs w:val="20"/>
          <w:color w:val="auto"/>
        </w:rPr>
      </w:pPr>
    </w:p>
    <w:p>
      <w:pPr>
        <w:jc w:val="both"/>
        <w:ind w:left="1531"/>
        <w:spacing w:after="0" w:line="248" w:lineRule="auto"/>
        <w:rPr>
          <w:sz w:val="20"/>
          <w:szCs w:val="20"/>
          <w:color w:val="auto"/>
        </w:rPr>
      </w:pPr>
      <w:r>
        <w:rPr>
          <w:rFonts w:ascii="Times New Roman" w:cs="Times New Roman" w:eastAsia="Times New Roman" w:hAnsi="Times New Roman"/>
          <w:sz w:val="22"/>
          <w:szCs w:val="22"/>
          <w:b w:val="1"/>
          <w:bCs w:val="1"/>
          <w:u w:val="single" w:color="auto"/>
          <w:color w:val="auto"/>
        </w:rPr>
        <w:t>Restrictions on Competition</w:t>
      </w:r>
      <w:r>
        <w:rPr>
          <w:rFonts w:ascii="Times New Roman" w:cs="Times New Roman" w:eastAsia="Times New Roman" w:hAnsi="Times New Roman"/>
          <w:sz w:val="22"/>
          <w:szCs w:val="22"/>
          <w:color w:val="auto"/>
        </w:rPr>
        <w:t>. Because of the Company’s legitimate business interest and the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offered to Executive, which she would not otherwise be entitled, and except where prohibited by state or local law, Executive covenants and agrees that for a period of one (1) year after the Separation Date, Executive will not directly or indirectly, on her own behalf or on behalf of or in conjunction with any person, business, firm, company, or other entity, set up, join, become employed by, be engaged in, or provide any advice or services to, any enterprise which develops, produces, markets, sells or services any product or service which is the same as or similar to products or services manufactured and sold by the business or function Executive worked for in the last two years of your employment with the Company. This covenant is limited to any state in the United States of America and country in which the Company is or has been doing business during the twelve (12) months prior to the Separation Date. Executive acknowledges that this covenant is reasonable, and that she has received sufficient consideration for the covenants contained herein. Executive agree that a court may modify any provision herein that it deems unreasonable or unenforceable, and the remainder shall remain in full force and effect. Executive acknowledges that the Company advised her to consult with an attorney before agreeing to this covenant and provided Executive with at least 14 days to review and consider this covenant before agreeing to it.</w:t>
      </w:r>
    </w:p>
    <w:p>
      <w:pPr>
        <w:spacing w:after="0" w:line="210" w:lineRule="exact"/>
        <w:rPr>
          <w:sz w:val="20"/>
          <w:szCs w:val="20"/>
          <w:color w:val="auto"/>
        </w:rPr>
      </w:pPr>
    </w:p>
    <w:p>
      <w:pPr>
        <w:jc w:val="both"/>
        <w:ind w:left="1531"/>
        <w:spacing w:after="0" w:line="251" w:lineRule="auto"/>
        <w:rPr>
          <w:sz w:val="20"/>
          <w:szCs w:val="20"/>
          <w:color w:val="auto"/>
        </w:rPr>
      </w:pPr>
      <w:r>
        <w:rPr>
          <w:rFonts w:ascii="Times New Roman" w:cs="Times New Roman" w:eastAsia="Times New Roman" w:hAnsi="Times New Roman"/>
          <w:sz w:val="22"/>
          <w:szCs w:val="22"/>
          <w:b w:val="1"/>
          <w:bCs w:val="1"/>
          <w:u w:val="single" w:color="auto"/>
          <w:color w:val="auto"/>
        </w:rPr>
        <w:t>Non-Solicitation</w:t>
      </w:r>
      <w:r>
        <w:rPr>
          <w:rFonts w:ascii="Times New Roman" w:cs="Times New Roman" w:eastAsia="Times New Roman" w:hAnsi="Times New Roman"/>
          <w:sz w:val="22"/>
          <w:szCs w:val="22"/>
          <w:color w:val="auto"/>
        </w:rPr>
        <w:t>. Because of the Company’s legitimate business interest and the valuable consideration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offered to Executive which she would not otherwise be entitled and except where prohibited by state or local law, Executive covenants and agrees that for a period of one (1) year after the Separation Date, Executive will not, for himself or herself, as an agent or employee, or on behalf of any person, association, partnership, corporation or other entity directly or indirectly, solicit the business, or aid to assist anyone</w:t>
      </w:r>
    </w:p>
    <w:p>
      <w:pPr>
        <w:sectPr>
          <w:pgSz w:w="11900" w:h="16838" w:orient="portrait"/>
          <w:cols w:equalWidth="0" w:num="1">
            <w:col w:w="11151"/>
          </w:cols>
          <w:pgMar w:left="409" w:top="1422" w:right="339" w:bottom="1440" w:gutter="0" w:footer="0" w:header="0"/>
        </w:sectPr>
      </w:pPr>
    </w:p>
    <w:bookmarkStart w:id="96" w:name="page97"/>
    <w:bookmarkEnd w:id="96"/>
    <w:p>
      <w:pPr>
        <w:jc w:val="both"/>
        <w:ind w:left="1531"/>
        <w:spacing w:after="0" w:line="260" w:lineRule="auto"/>
        <w:rPr>
          <w:sz w:val="20"/>
          <w:szCs w:val="20"/>
          <w:color w:val="auto"/>
        </w:rPr>
      </w:pPr>
      <w:r>
        <w:rPr>
          <w:rFonts w:ascii="Times New Roman" w:cs="Times New Roman" w:eastAsia="Times New Roman" w:hAnsi="Times New Roman"/>
          <w:sz w:val="21"/>
          <w:szCs w:val="21"/>
          <w:color w:val="auto"/>
        </w:rPr>
        <w:t>else in the solicitation of business from, any customer or prospective customer of the Company or supplier of parts used in the manufacturing of products by the Company with whom Executive had direct or indirect contact or about whom Executive acquired any knowledge through her employment with the Company. Executive also agrees that for one (1) year after the Separation Date, she will not, directly or indirectly: solicit or induce, or attempt to solicit or induce, any employee of the Company to leave the Company for any reason whatsoever, or hire or participate in the hiring or interviewing of any employee of the Company; or provide names or other information about the Company’s employees for the purpose of assisting others to hire or interview such employees. For purposes of this paragraph, a Company employee means any person who is a current Wabtec employee or was employed by Wabtec within the six (6) months preceding any alleged solicitation. Executive acknowledges that this covenant is reasonable, and that she has received sufficient consideration for the covenants contained herein. Executive agrees that a court may modify any provision herein that it deems unreasonable or unenforceable, and the remainder shall remain in full force and effect. Executive acknowledges that the Company advised her to consult with an attorney before agreeing to this covenant and provided her with at least 14 days to review and consider this covenant before agreeing to it.</w:t>
      </w:r>
    </w:p>
    <w:p>
      <w:pPr>
        <w:spacing w:after="0" w:line="208" w:lineRule="exact"/>
        <w:rPr>
          <w:sz w:val="20"/>
          <w:szCs w:val="20"/>
          <w:color w:val="auto"/>
        </w:rPr>
      </w:pPr>
    </w:p>
    <w:p>
      <w:pPr>
        <w:jc w:val="both"/>
        <w:ind w:left="331" w:hanging="331"/>
        <w:spacing w:after="0" w:line="259" w:lineRule="auto"/>
        <w:tabs>
          <w:tab w:leader="none" w:pos="33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Release of Claims</w:t>
      </w:r>
      <w:r>
        <w:rPr>
          <w:rFonts w:ascii="Times New Roman" w:cs="Times New Roman" w:eastAsia="Times New Roman" w:hAnsi="Times New Roman"/>
          <w:sz w:val="22"/>
          <w:szCs w:val="22"/>
          <w:color w:val="auto"/>
        </w:rPr>
        <w:t>. The Executive and her heirs, assigns, and agents agree to and hereby do release, waive, and discharge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Releasees (as defined below) from each and every waivable claim, action or right of any sort, known or unknown, suspected or unsuspected, arising on or before the date that Executive signs this Agreement.</w:t>
      </w:r>
    </w:p>
    <w:p>
      <w:pPr>
        <w:spacing w:after="0" w:line="193" w:lineRule="exact"/>
        <w:rPr>
          <w:rFonts w:ascii="Times New Roman" w:cs="Times New Roman" w:eastAsia="Times New Roman" w:hAnsi="Times New Roman"/>
          <w:sz w:val="22"/>
          <w:szCs w:val="22"/>
          <w:color w:val="auto"/>
        </w:rPr>
      </w:pPr>
    </w:p>
    <w:p>
      <w:pPr>
        <w:jc w:val="both"/>
        <w:ind w:left="1531" w:hanging="316"/>
        <w:spacing w:after="0" w:line="250" w:lineRule="auto"/>
        <w:tabs>
          <w:tab w:leader="none" w:pos="1519"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Releasees</w:t>
      </w:r>
      <w:r>
        <w:rPr>
          <w:rFonts w:ascii="Times New Roman" w:cs="Times New Roman" w:eastAsia="Times New Roman" w:hAnsi="Times New Roman"/>
          <w:sz w:val="22"/>
          <w:szCs w:val="22"/>
          <w:color w:val="auto"/>
        </w:rPr>
        <w:t>. “Releasees” include the following: (1) the Company; (2) all current and former Company parents,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subsidiaries, related companies, affiliates, partnerships or joint ventures, and, with respect to each of them, their predecessors and successors; (3) with respect to each such entity identified in (1) and (2) above, all of its past, present, and future employees, officers, directors, stockholders, owners, representatives, assigns, attorneys, agents, insurers, employee benefit programs (and the trustees, administrators, fiduciaries and insurers of such programs), and (4) any other person acting by, through, under or in concert with any of the persons or entities listed in this paragraph, and their predecessors or successors.</w:t>
      </w:r>
    </w:p>
    <w:p>
      <w:pPr>
        <w:spacing w:after="0" w:line="220" w:lineRule="exact"/>
        <w:rPr>
          <w:rFonts w:ascii="Times New Roman" w:cs="Times New Roman" w:eastAsia="Times New Roman" w:hAnsi="Times New Roman"/>
          <w:sz w:val="22"/>
          <w:szCs w:val="22"/>
          <w:color w:val="auto"/>
        </w:rPr>
      </w:pPr>
    </w:p>
    <w:p>
      <w:pPr>
        <w:jc w:val="both"/>
        <w:ind w:left="1531" w:hanging="316"/>
        <w:spacing w:after="0" w:line="264" w:lineRule="auto"/>
        <w:tabs>
          <w:tab w:leader="none" w:pos="1531"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Claims Released</w:t>
      </w:r>
      <w:r>
        <w:rPr>
          <w:rFonts w:ascii="Times New Roman" w:cs="Times New Roman" w:eastAsia="Times New Roman" w:hAnsi="Times New Roman"/>
          <w:sz w:val="21"/>
          <w:szCs w:val="21"/>
          <w:color w:val="auto"/>
        </w:rPr>
        <w:t>. The foregoing release includes, but is not limited to: (1) any claim of discrimination,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harassment, or retaliation related to race, sex, pregnancy, religion, marital status, sexual orientation, national origin, handicap or disability, age, veteran status, or citizenship status or any other category protected by law;</w:t>
      </w:r>
    </w:p>
    <w:p>
      <w:pPr>
        <w:ind w:left="1531"/>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any other claim based on a statutory prohibition or requirement; (3) any and all claims under any law of any nation, including any and all claims under any United States of America federal, state, or local</w:t>
      </w:r>
    </w:p>
    <w:p>
      <w:pPr>
        <w:sectPr>
          <w:pgSz w:w="11900" w:h="16838" w:orient="portrait"/>
          <w:cols w:equalWidth="0" w:num="1">
            <w:col w:w="11151"/>
          </w:cols>
          <w:pgMar w:left="409" w:top="1422" w:right="339" w:bottom="1440" w:gutter="0" w:footer="0" w:header="0"/>
        </w:sectPr>
      </w:pPr>
    </w:p>
    <w:bookmarkStart w:id="97" w:name="page98"/>
    <w:bookmarkEnd w:id="97"/>
    <w:p>
      <w:pPr>
        <w:jc w:val="both"/>
        <w:ind w:left="1612"/>
        <w:spacing w:after="0" w:line="242" w:lineRule="auto"/>
        <w:rPr>
          <w:sz w:val="20"/>
          <w:szCs w:val="20"/>
          <w:color w:val="auto"/>
        </w:rPr>
      </w:pPr>
      <w:r>
        <w:rPr>
          <w:rFonts w:ascii="Times New Roman" w:cs="Times New Roman" w:eastAsia="Times New Roman" w:hAnsi="Times New Roman"/>
          <w:sz w:val="22"/>
          <w:szCs w:val="22"/>
          <w:color w:val="auto"/>
        </w:rPr>
        <w:t>law, regulation, or ordinance</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(4) any claim under contract, tort, or common law, such as claims of wrongful discharge, negligent or intentional affliction of emotional distress and defamation; (5) any claim arising out of or related to an express or implied employment contract, any other contract affecting terms and conditions of employment, or a covenant of good faith and fair dealing; (6) any claim based on or arising under the Employment Retirement Income Security Act of 1974 (“ERISA”) (except for any vested benefits under any tax qualified benefits plan); and (7) any claims for attorneys’ fees that exist or may exist as of the date of the signing of this Agreement. Notwithstanding anything contrary in this Agreement, </w:t>
      </w:r>
      <w:r>
        <w:rPr>
          <w:rFonts w:ascii="Times New Roman" w:cs="Times New Roman" w:eastAsia="Times New Roman" w:hAnsi="Times New Roman"/>
          <w:sz w:val="22"/>
          <w:szCs w:val="22"/>
          <w:u w:val="single" w:color="auto"/>
          <w:color w:val="auto"/>
        </w:rPr>
        <w:t>Executive understands that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she is not releasing any claims arising after the date Executive signs this Agreement, and that she is not releasing claims that cannot lawfully be released, she is not releasing her rights to vested benefits and equity, her rights to indemnification and defense, her rights to her deferred compensation and/or her rights under this Agreement.</w:t>
      </w:r>
    </w:p>
    <w:p>
      <w:pPr>
        <w:spacing w:after="0" w:line="218" w:lineRule="exact"/>
        <w:rPr>
          <w:sz w:val="20"/>
          <w:szCs w:val="20"/>
          <w:color w:val="auto"/>
        </w:rPr>
      </w:pPr>
    </w:p>
    <w:p>
      <w:pPr>
        <w:jc w:val="both"/>
        <w:ind w:left="1612" w:hanging="316"/>
        <w:spacing w:after="0" w:line="274" w:lineRule="auto"/>
        <w:tabs>
          <w:tab w:leader="none" w:pos="160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OWBPA and ADEA Claims</w:t>
      </w:r>
      <w:r>
        <w:rPr>
          <w:rFonts w:ascii="Times New Roman" w:cs="Times New Roman" w:eastAsia="Times New Roman" w:hAnsi="Times New Roman"/>
          <w:sz w:val="21"/>
          <w:szCs w:val="21"/>
          <w:color w:val="auto"/>
        </w:rPr>
        <w:t>. If the Executive is over age 40, the Executive acknowledges that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has provided and Executive has received an Exhibit A attachment as required by the Older Workers Benefit Protection Act (OWBPA). If Executive is over age 40, Executive also acknowledges that she is releasing rights and claims under the Age Discrimination in Employment Act of 1967, as amended (“ADEA”).</w:t>
      </w:r>
    </w:p>
    <w:p>
      <w:pPr>
        <w:spacing w:after="0" w:line="179" w:lineRule="exact"/>
        <w:rPr>
          <w:rFonts w:ascii="Times New Roman" w:cs="Times New Roman" w:eastAsia="Times New Roman" w:hAnsi="Times New Roman"/>
          <w:sz w:val="21"/>
          <w:szCs w:val="21"/>
          <w:color w:val="auto"/>
        </w:rPr>
      </w:pPr>
    </w:p>
    <w:p>
      <w:pPr>
        <w:jc w:val="both"/>
        <w:ind w:left="1612" w:hanging="316"/>
        <w:spacing w:after="0" w:line="269" w:lineRule="auto"/>
        <w:tabs>
          <w:tab w:leader="none" w:pos="161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Violating the Release</w:t>
      </w:r>
      <w:r>
        <w:rPr>
          <w:rFonts w:ascii="Times New Roman" w:cs="Times New Roman" w:eastAsia="Times New Roman" w:hAnsi="Times New Roman"/>
          <w:sz w:val="21"/>
          <w:szCs w:val="21"/>
          <w:color w:val="auto"/>
        </w:rPr>
        <w:t>. If the Executive violates this release by suing a Releasee or causing a Releasee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sued for any matter in the scope of the release, the Executive agrees to pay all costs and expenses of defending against the suit incurred by the Releasee, including reasonable attorneys’ fees, except to the extent that paying such fees, costs and expenses is prohibited by law or would result in the invalidation of the foregoing release.</w:t>
      </w:r>
    </w:p>
    <w:p>
      <w:pPr>
        <w:spacing w:after="0" w:line="199" w:lineRule="exact"/>
        <w:rPr>
          <w:rFonts w:ascii="Times New Roman" w:cs="Times New Roman" w:eastAsia="Times New Roman" w:hAnsi="Times New Roman"/>
          <w:sz w:val="21"/>
          <w:szCs w:val="21"/>
          <w:color w:val="auto"/>
        </w:rPr>
      </w:pPr>
    </w:p>
    <w:p>
      <w:pPr>
        <w:ind w:left="1612" w:hanging="316"/>
        <w:spacing w:after="0" w:line="275" w:lineRule="auto"/>
        <w:tabs>
          <w:tab w:leader="none" w:pos="16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Participating with Government Agencies</w:t>
      </w:r>
      <w:r>
        <w:rPr>
          <w:rFonts w:ascii="Times New Roman" w:cs="Times New Roman" w:eastAsia="Times New Roman" w:hAnsi="Times New Roman"/>
          <w:sz w:val="22"/>
          <w:szCs w:val="22"/>
          <w:color w:val="auto"/>
        </w:rPr>
        <w:t>. Nothing in this Agreement is intended to discourage or interfere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Executive taking advantage of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16459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37" w:lineRule="exact"/>
        <w:rPr>
          <w:sz w:val="20"/>
          <w:szCs w:val="20"/>
          <w:color w:val="auto"/>
        </w:rPr>
      </w:pPr>
    </w:p>
    <w:p>
      <w:pPr>
        <w:jc w:val="both"/>
        <w:ind w:left="-8" w:firstLine="8"/>
        <w:spacing w:after="0"/>
        <w:tabs>
          <w:tab w:leader="none" w:pos="130" w:val="left"/>
        </w:tabs>
        <w:numPr>
          <w:ilvl w:val="0"/>
          <w:numId w:val="4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Including but not limited to claims under the New Jersey Conscientious Employee Protection Act, the New Jersey Law Against Discrimination, the Minnesota Human Rights Act, and all rights and claims under the Massachusetts Law Against Discrimination and the Massachusetts Wage Payment Statutes and other Massachusetts Wage and Hour Laws such as claims for unpaid or late payment of wages, unpaid overtime, vacation payments, commission payments, meal period violations and unpaid tips. Montana employees also specifically release all rights under the Montana Code Annotated Section 28-1-1602, which provides: “a general release does not extend to claims that the creditor does not know or suspect to exist in the creditor’s favor at the time of executing the release, which, if known by the creditor, must have materially affected the creditor’s settlement with the debtor.” California employees also specifically waive all rights and benefits under Section 1542 of the California Civil Code, which states: “A general release does not extend to claims which the creditor does not know or suspect to exist in his or her favor at the time of executing the release, which if known by him or her must have materially affected his or her settlement with the debtor.” The term “creditor” in the above quote refers to the employee and the term “debtor” refers to the employer. Pursuant to the West Virginia Human Rights Act, West Virginia employees who need an attorney may call the West Virginia State Bar Association at (866) 989-8227.</w:t>
      </w:r>
    </w:p>
    <w:p>
      <w:pPr>
        <w:sectPr>
          <w:pgSz w:w="11900" w:h="16838" w:orient="portrait"/>
          <w:cols w:equalWidth="0" w:num="1">
            <w:col w:w="11232"/>
          </w:cols>
          <w:pgMar w:left="328" w:top="1416" w:right="339" w:bottom="1440" w:gutter="0" w:footer="0" w:header="0"/>
        </w:sectPr>
      </w:pPr>
    </w:p>
    <w:bookmarkStart w:id="98" w:name="page99"/>
    <w:bookmarkEnd w:id="98"/>
    <w:p>
      <w:pPr>
        <w:jc w:val="both"/>
        <w:ind w:left="1531"/>
        <w:spacing w:after="0" w:line="249" w:lineRule="auto"/>
        <w:rPr>
          <w:sz w:val="20"/>
          <w:szCs w:val="20"/>
          <w:color w:val="auto"/>
        </w:rPr>
      </w:pPr>
      <w:r>
        <w:rPr>
          <w:rFonts w:ascii="Times New Roman" w:cs="Times New Roman" w:eastAsia="Times New Roman" w:hAnsi="Times New Roman"/>
          <w:sz w:val="22"/>
          <w:szCs w:val="22"/>
          <w:color w:val="auto"/>
        </w:rPr>
        <w:t>right to file or participate in administrative claims or charges and/or communicating with government agencies or authorities, including any state or federal fair employment practices agency and law enforcement authorities. However, the Executive agrees she cannot receive any monetary or personal gain for such participation, to the maximum extent permitted by law. Accordingly, Executive shall be barred from seeking and expressly waives any and all waivable rights to any monetary, injunctive, or other personal relief for released claims, including but not limited to damages, remedies, or other such relief, any and all rights to which Executive hereby waives; provided however that this waiver shall not apply to participation in any investigation or proceeding conducted by, or to any communication with, the United States Securities and Exchange Commission. Executive understands that such waiver does not extend to relief that cannot lawfully be waived.</w:t>
      </w:r>
    </w:p>
    <w:p>
      <w:pPr>
        <w:spacing w:after="0" w:line="206" w:lineRule="exact"/>
        <w:rPr>
          <w:sz w:val="20"/>
          <w:szCs w:val="20"/>
          <w:color w:val="auto"/>
        </w:rPr>
      </w:pPr>
    </w:p>
    <w:p>
      <w:pPr>
        <w:jc w:val="both"/>
        <w:ind w:left="1531" w:hanging="316"/>
        <w:spacing w:after="0" w:line="252" w:lineRule="auto"/>
        <w:tabs>
          <w:tab w:leader="none" w:pos="1526" w:val="left"/>
        </w:tabs>
        <w:numPr>
          <w:ilvl w:val="1"/>
          <w:numId w:val="46"/>
        </w:numPr>
        <w:rPr>
          <w:rFonts w:ascii="Courier New" w:cs="Courier New" w:eastAsia="Courier New" w:hAnsi="Courier New"/>
          <w:sz w:val="18"/>
          <w:szCs w:val="18"/>
          <w:color w:val="auto"/>
        </w:rPr>
      </w:pPr>
      <w:r>
        <w:rPr>
          <w:rFonts w:ascii="Times New Roman" w:cs="Times New Roman" w:eastAsia="Times New Roman" w:hAnsi="Times New Roman"/>
          <w:sz w:val="22"/>
          <w:szCs w:val="22"/>
          <w:b w:val="1"/>
          <w:bCs w:val="1"/>
          <w:u w:val="single" w:color="auto"/>
          <w:color w:val="auto"/>
        </w:rPr>
        <w:t>Alternative Dispute Resolution</w:t>
      </w:r>
      <w:r>
        <w:rPr>
          <w:rFonts w:ascii="Times New Roman" w:cs="Times New Roman" w:eastAsia="Times New Roman" w:hAnsi="Times New Roman"/>
          <w:sz w:val="22"/>
          <w:szCs w:val="22"/>
          <w:color w:val="auto"/>
        </w:rPr>
        <w:t>. The Executive agrees to submit to the Company’s internal alternative dispute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resolution process, (“Company ADR”) including final and binding arbitration, any claims not released by this Agreement, and covered by such Company ADR process, or any claims that arise after the date Executive signs this Agreement, including, but not limited to, disputes about the Agreement itself, to the maximum extent permitted by law.</w:t>
      </w:r>
    </w:p>
    <w:p>
      <w:pPr>
        <w:spacing w:after="0" w:line="221" w:lineRule="exact"/>
        <w:rPr>
          <w:rFonts w:ascii="Courier New" w:cs="Courier New" w:eastAsia="Courier New" w:hAnsi="Courier New"/>
          <w:sz w:val="18"/>
          <w:szCs w:val="18"/>
          <w:color w:val="auto"/>
        </w:rPr>
      </w:pPr>
    </w:p>
    <w:p>
      <w:pPr>
        <w:jc w:val="both"/>
        <w:ind w:left="1531"/>
        <w:spacing w:after="0" w:line="250" w:lineRule="auto"/>
        <w:rPr>
          <w:rFonts w:ascii="Courier New" w:cs="Courier New" w:eastAsia="Courier New" w:hAnsi="Courier New"/>
          <w:sz w:val="18"/>
          <w:szCs w:val="18"/>
          <w:color w:val="auto"/>
        </w:rPr>
      </w:pPr>
      <w:r>
        <w:rPr>
          <w:rFonts w:ascii="Times New Roman" w:cs="Times New Roman" w:eastAsia="Times New Roman" w:hAnsi="Times New Roman"/>
          <w:sz w:val="22"/>
          <w:szCs w:val="22"/>
          <w:color w:val="auto"/>
        </w:rPr>
        <w:t>Executive understands that this means she is giving up the right to a jury trial for any claims not released by this Agreement or that arise after the date she signs this Agreement to the maximum extent permitted by law, and that all such claims submitted to arbitration pursuant to the Company ADR will be decided solely by an arbitrator. If Executive needs another copy of the Company ADR guidelines, she can ask her Company HRM (or that HRM’s successor, if that HRM is no longer in the role) for a copy.</w:t>
      </w:r>
    </w:p>
    <w:p>
      <w:pPr>
        <w:spacing w:after="0" w:line="217" w:lineRule="exact"/>
        <w:rPr>
          <w:rFonts w:ascii="Courier New" w:cs="Courier New" w:eastAsia="Courier New" w:hAnsi="Courier New"/>
          <w:sz w:val="18"/>
          <w:szCs w:val="18"/>
          <w:color w:val="auto"/>
        </w:rPr>
      </w:pPr>
    </w:p>
    <w:p>
      <w:pPr>
        <w:jc w:val="both"/>
        <w:ind w:left="331" w:hanging="331"/>
        <w:spacing w:after="0" w:line="260" w:lineRule="auto"/>
        <w:tabs>
          <w:tab w:leader="none" w:pos="331"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Future Cooperation</w:t>
      </w:r>
      <w:r>
        <w:rPr>
          <w:rFonts w:ascii="Times New Roman" w:cs="Times New Roman" w:eastAsia="Times New Roman" w:hAnsi="Times New Roman"/>
          <w:sz w:val="21"/>
          <w:szCs w:val="21"/>
          <w:color w:val="auto"/>
        </w:rPr>
        <w:t>. Executive agrees that, for a period of 24 months following the Date of Termination, she will fully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cooperate with the Company in effecting an orderly transition of her duties and in ensuring that the business of the Company is conducted in a professional, positive and competent manner including, without limitation, by making himself available to answer questions posed by the Company. Executive agrees that she shall respond to reasonable requests for information from the Company regarding matters that may arise in the Company’s business. Executive further agrees to fully and completely cooperate with the Company, its advisors and its legal counsel with respect to any litigation that is pending against the Company and any claim or action that may be filed against the Company in the future. Such cooperation shall include making himself available at reasonable times and places for interviews, reviewing documents, testifying in a deposition or a legal or administrative proceeding, and providing advice to the Company in preparing defenses to any pending or potential future claims against the Company. The Company agrees to pay/reimburse Executive for any pre-approved travel expenses and verifiable lost compensation incurred as a result of her cooperation with the Company.</w:t>
      </w:r>
    </w:p>
    <w:p>
      <w:pPr>
        <w:sectPr>
          <w:pgSz w:w="11900" w:h="16838" w:orient="portrait"/>
          <w:cols w:equalWidth="0" w:num="1">
            <w:col w:w="11151"/>
          </w:cols>
          <w:pgMar w:left="409" w:top="1422" w:right="339" w:bottom="1440" w:gutter="0" w:footer="0" w:header="0"/>
        </w:sectPr>
      </w:pPr>
    </w:p>
    <w:bookmarkStart w:id="99" w:name="page100"/>
    <w:bookmarkEnd w:id="99"/>
    <w:p>
      <w:pPr>
        <w:spacing w:after="0" w:line="221" w:lineRule="exact"/>
        <w:rPr>
          <w:sz w:val="20"/>
          <w:szCs w:val="20"/>
          <w:color w:val="auto"/>
        </w:rPr>
      </w:pPr>
    </w:p>
    <w:p>
      <w:pPr>
        <w:jc w:val="both"/>
        <w:ind w:left="331" w:hanging="331"/>
        <w:spacing w:after="0" w:line="254" w:lineRule="auto"/>
        <w:tabs>
          <w:tab w:leader="none" w:pos="33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color w:val="auto"/>
        </w:rPr>
        <w:t>. The Company may withhold from any amounts payable under this Agreement all federal, state, city or other taxes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is required to withhold pursuant to any applicable law, regulation or ruling. Notwithstanding any other provision of this Agreement, the Company shall not be obligated to guarantee any particular tax result for Executive with respect to any payment provided to Executive hereunder, and Executive shall be responsible for any taxes imposed on Executive with respect to any such payment.</w:t>
      </w:r>
    </w:p>
    <w:p>
      <w:pPr>
        <w:spacing w:after="0" w:line="200" w:lineRule="exact"/>
        <w:rPr>
          <w:rFonts w:ascii="Times New Roman" w:cs="Times New Roman" w:eastAsia="Times New Roman" w:hAnsi="Times New Roman"/>
          <w:sz w:val="22"/>
          <w:szCs w:val="22"/>
          <w:color w:val="auto"/>
        </w:rPr>
      </w:pPr>
    </w:p>
    <w:p>
      <w:pPr>
        <w:jc w:val="both"/>
        <w:ind w:left="331" w:hanging="331"/>
        <w:spacing w:after="0" w:line="249" w:lineRule="auto"/>
        <w:tabs>
          <w:tab w:leader="none" w:pos="33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Non-Disparagement</w:t>
      </w:r>
      <w:r>
        <w:rPr>
          <w:rFonts w:ascii="Times New Roman" w:cs="Times New Roman" w:eastAsia="Times New Roman" w:hAnsi="Times New Roman"/>
          <w:sz w:val="22"/>
          <w:szCs w:val="22"/>
          <w:color w:val="auto"/>
        </w:rPr>
        <w:t>. Executive agrees that she shall not talk about or otherwise communicate to any third parties 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malicious, disparaging or defamatory manner regarding the Company or its past or present employees, officers, directors, managers, board members, agents, affiliates, parent entities, subsidiaries, administrators, successors, and assigns (the “Company Parties”), or any aspect of her employment with the Company or its subsidiaries. The Company agrees that it shall use its reasonable best efforts to cause its officers and directors to refrain from talking about or otherwise communicating to any third parties in a malicious, disparaging or defamatory manner regarding Executive. Further, Executive shall not make or authorize to be made any written or oral statement that may disparage or damage the reputation of the Company or the Company Parties, and the Company shall use its reasonable best efforts to cause its officers and directors to not make or authorize to be made any written or oral statement that may disparage or damage Executive’s reputation.</w:t>
      </w:r>
    </w:p>
    <w:p>
      <w:pPr>
        <w:spacing w:after="0" w:line="210" w:lineRule="exact"/>
        <w:rPr>
          <w:rFonts w:ascii="Times New Roman" w:cs="Times New Roman" w:eastAsia="Times New Roman" w:hAnsi="Times New Roman"/>
          <w:sz w:val="22"/>
          <w:szCs w:val="22"/>
          <w:color w:val="auto"/>
        </w:rPr>
      </w:pPr>
    </w:p>
    <w:p>
      <w:pPr>
        <w:jc w:val="both"/>
        <w:ind w:left="331" w:hanging="331"/>
        <w:spacing w:after="0" w:line="253" w:lineRule="auto"/>
        <w:tabs>
          <w:tab w:leader="none" w:pos="33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 of Provisions</w:t>
      </w:r>
      <w:r>
        <w:rPr>
          <w:rFonts w:ascii="Times New Roman" w:cs="Times New Roman" w:eastAsia="Times New Roman" w:hAnsi="Times New Roman"/>
          <w:sz w:val="22"/>
          <w:szCs w:val="22"/>
          <w:color w:val="auto"/>
        </w:rPr>
        <w:t>. In the event that any provision in this Agreement is determined to be legally invalid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unenforceable by an arbitrator or any court of competent jurisdiction, in accordance with the Alternative Dispute Resolution paragraphs above, and cannot be modified to be enforceable, the affected provision shall be stricken from the Agreement. The remaining terms of the Agreement and its enforceability shall remain unaffected.</w:t>
      </w:r>
    </w:p>
    <w:p>
      <w:pPr>
        <w:spacing w:after="0" w:line="215" w:lineRule="exact"/>
        <w:rPr>
          <w:rFonts w:ascii="Times New Roman" w:cs="Times New Roman" w:eastAsia="Times New Roman" w:hAnsi="Times New Roman"/>
          <w:sz w:val="22"/>
          <w:szCs w:val="22"/>
          <w:color w:val="auto"/>
        </w:rPr>
      </w:pPr>
    </w:p>
    <w:p>
      <w:pPr>
        <w:jc w:val="both"/>
        <w:ind w:left="331" w:hanging="331"/>
        <w:spacing w:after="0" w:line="248" w:lineRule="auto"/>
        <w:tabs>
          <w:tab w:leader="none" w:pos="33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Non-Transfer of Company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represents that consistent with her obligations under the EIPIA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Company policies she has not copied or transferred any Company Confidential Information to any external storage device, external personal email or other non Company-authorized storage location in anticipation of or connection with her separation, without the authorization of her Manager or her Company HRM. Such Confidential Information includes but is not limited to documents and data containing work product that was prepared for the Company by Executive or others during her employment. Executive represents that any material so transferred or copied by her, or on her behalf, is of a solely personal or social nature to Executive or relates to Company-provided compensation or benefits received by her dependents and that if she has any questions regarding the prohibitions in this paragraph she will discuss those with her Manager or Company HRM prior to signing this Agreement. If Executive possesses Confidential Information stored on personal computer media, Executive shall so advise the Company upon execution of this Agreement, and work with the Company to ensure the location of all such data is fully disclosed by Executive to the Company, retrieved by the Company in a forensically sound manner, and permanently deleted by the Company or its designee from her personal computer media prior to the Separation Date.</w:t>
      </w:r>
    </w:p>
    <w:p>
      <w:pPr>
        <w:sectPr>
          <w:pgSz w:w="11900" w:h="16838" w:orient="portrait"/>
          <w:cols w:equalWidth="0" w:num="1">
            <w:col w:w="11151"/>
          </w:cols>
          <w:pgMar w:left="409" w:top="1440" w:right="339" w:bottom="1440" w:gutter="0" w:footer="0" w:header="0"/>
        </w:sectPr>
      </w:pPr>
    </w:p>
    <w:bookmarkStart w:id="100" w:name="page101"/>
    <w:bookmarkEnd w:id="100"/>
    <w:p>
      <w:pPr>
        <w:spacing w:after="0" w:line="221" w:lineRule="exact"/>
        <w:rPr>
          <w:sz w:val="20"/>
          <w:szCs w:val="20"/>
          <w:color w:val="auto"/>
        </w:rPr>
      </w:pPr>
    </w:p>
    <w:p>
      <w:pPr>
        <w:jc w:val="both"/>
        <w:ind w:left="331" w:hanging="331"/>
        <w:spacing w:after="0" w:line="262" w:lineRule="auto"/>
        <w:tabs>
          <w:tab w:leader="none" w:pos="331"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Company Property</w:t>
      </w:r>
      <w:r>
        <w:rPr>
          <w:rFonts w:ascii="Times New Roman" w:cs="Times New Roman" w:eastAsia="Times New Roman" w:hAnsi="Times New Roman"/>
          <w:sz w:val="21"/>
          <w:szCs w:val="21"/>
          <w:color w:val="auto"/>
        </w:rPr>
        <w:t>. Executive affirms that she has, or will have within a reasonable time after the Separation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returned to the Company in reasonable working order all Company Property, as described more fully below. “Company Property” includes equipment (e.g., any computer, computer related hardware, external data storage or other memory device, telephone/smart phone, tablet, printer, scanner, credit card, keys), supplies and documents of the Company or any subsidiary of the Company. Such documents may include but are not limited to customer lists, financial statements, cost data, price lists, invoices, forms, passwords, electronic files and media, mailing lists, contracts, reports, manuals, personnel files, correspondence, business cards, drawings, employee lists or directories, lists of vendors, photographs, maps, surveys, and the like, including copies, notes or compilations made therefrom, whether such documents are embodied on “hard copies” or contained on computer disk or any other medium. Executive further agrees that she will not retain any copies or duplicates of any such Company Property. The Executive agrees that as of the Separation Date she will have no outstanding balance on her corporate credit card or other expenses for which appropriate T&amp;E accounting has not been submitted.</w:t>
      </w:r>
    </w:p>
    <w:p>
      <w:pPr>
        <w:spacing w:after="0" w:line="191" w:lineRule="exact"/>
        <w:rPr>
          <w:rFonts w:ascii="Times New Roman" w:cs="Times New Roman" w:eastAsia="Times New Roman" w:hAnsi="Times New Roman"/>
          <w:sz w:val="21"/>
          <w:szCs w:val="21"/>
          <w:color w:val="auto"/>
        </w:rPr>
      </w:pPr>
    </w:p>
    <w:p>
      <w:pPr>
        <w:jc w:val="both"/>
        <w:ind w:left="331" w:hanging="331"/>
        <w:spacing w:after="0" w:line="249" w:lineRule="auto"/>
        <w:tabs>
          <w:tab w:leader="none" w:pos="33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The Executive shall keep strictly confidential all the terms and conditions, including amounts,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shall not disclose them to any person other than the Executive’s immediate family, the Executive’s legal or financial advisor/accountant, any bank in connection with a personal loan, or U.S. or state governmental officials who seek such information in the course of their official duties, unless compelled by law to do so. If a person not a party to this Agreement requests or demands, by subpoena or otherwise, that the Executive disclose or produce this Agreement or any terms or conditions thereof, the Executive shall immediately notify the Company and shall give the Company an opportunity to respond to such notice. The Executive shall not take any action or make any decision in connection with such request or subpoena without first notifying the Company.</w:t>
      </w:r>
    </w:p>
    <w:p>
      <w:pPr>
        <w:spacing w:after="0" w:line="222" w:lineRule="exact"/>
        <w:rPr>
          <w:rFonts w:ascii="Times New Roman" w:cs="Times New Roman" w:eastAsia="Times New Roman" w:hAnsi="Times New Roman"/>
          <w:sz w:val="22"/>
          <w:szCs w:val="22"/>
          <w:color w:val="auto"/>
        </w:rPr>
      </w:pPr>
    </w:p>
    <w:p>
      <w:pPr>
        <w:jc w:val="both"/>
        <w:ind w:left="331" w:hanging="331"/>
        <w:spacing w:after="0" w:line="263" w:lineRule="auto"/>
        <w:tabs>
          <w:tab w:leader="none" w:pos="331"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Breach by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Company’s obligations to the Executive after the Effective Date are contingent on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fulfilling her obligations under this Agreement. If the Executive commits any material breach of this Agreement, the Company shall have the right to immediately cancel its obligations under this Agreement, and the Executive will be required to reimburse the Company for any and all compensation and benefits (other than those already vested) paid as consideration under the terms of this Agreement, except to the extent that such reimbursement is prohibited by law or would result in the invalidation of the release in Paragraph 12 above. In the event such breach is established after arbitration in accordance with Company ADR, the Executive shall indemnify and hold Company harmless from any loss, claim or damages, including without limitation all reasonable attorneys’ fees, costs and expenses incurred in enforcing its rights under this Agreement.</w:t>
      </w:r>
    </w:p>
    <w:p>
      <w:pPr>
        <w:spacing w:after="0" w:line="191" w:lineRule="exact"/>
        <w:rPr>
          <w:rFonts w:ascii="Times New Roman" w:cs="Times New Roman" w:eastAsia="Times New Roman" w:hAnsi="Times New Roman"/>
          <w:sz w:val="21"/>
          <w:szCs w:val="21"/>
          <w:color w:val="auto"/>
        </w:rPr>
      </w:pPr>
    </w:p>
    <w:p>
      <w:pPr>
        <w:jc w:val="both"/>
        <w:ind w:left="331" w:hanging="331"/>
        <w:spacing w:after="0" w:line="258" w:lineRule="auto"/>
        <w:tabs>
          <w:tab w:leader="none" w:pos="33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280G</w:t>
      </w:r>
      <w:r>
        <w:rPr>
          <w:rFonts w:ascii="Times New Roman" w:cs="Times New Roman" w:eastAsia="Times New Roman" w:hAnsi="Times New Roman"/>
          <w:sz w:val="22"/>
          <w:szCs w:val="22"/>
          <w:color w:val="auto"/>
        </w:rPr>
        <w:t>. In the event of a change in ownership or control under 280G of the Code, if it shall be determined that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or distribution in the nature of compensation (within the meaning of section 280G(b)(2) of the Code) to or for the benefit of the Executive, whether paid or payable or distributed or distributable pursuant to the terms of this Agreement or otherwise (a “Payment”), would constitute an “excess parachute payment”</w:t>
      </w:r>
    </w:p>
    <w:p>
      <w:pPr>
        <w:sectPr>
          <w:pgSz w:w="11900" w:h="16838" w:orient="portrait"/>
          <w:cols w:equalWidth="0" w:num="1">
            <w:col w:w="11151"/>
          </w:cols>
          <w:pgMar w:left="409" w:top="1440" w:right="339" w:bottom="1440" w:gutter="0" w:footer="0" w:header="0"/>
        </w:sectPr>
      </w:pPr>
    </w:p>
    <w:bookmarkStart w:id="101" w:name="page102"/>
    <w:bookmarkEnd w:id="101"/>
    <w:p>
      <w:pPr>
        <w:jc w:val="both"/>
        <w:ind w:left="331"/>
        <w:spacing w:after="0" w:line="253" w:lineRule="auto"/>
        <w:rPr>
          <w:sz w:val="20"/>
          <w:szCs w:val="20"/>
          <w:color w:val="auto"/>
        </w:rPr>
      </w:pPr>
      <w:r>
        <w:rPr>
          <w:rFonts w:ascii="Times New Roman" w:cs="Times New Roman" w:eastAsia="Times New Roman" w:hAnsi="Times New Roman"/>
          <w:sz w:val="22"/>
          <w:szCs w:val="22"/>
          <w:color w:val="auto"/>
        </w:rPr>
        <w:t>within the meaning of section 280G of the Code, the aggregate present value of the Payments under the Agreement shall be reduced (but not below zero) to the Reduced Amount (defined below) if and only if the Accounting Firm (as described in the Severance and Employment Continuation Agreement) determines that the reduction will provide the Executive with a greater net after-tax benefit than would no reduction. No reduction shall be made unless the reduction would provide Executive with a greater net after-tax benefit. The determinations under this Section shall be made as follows:</w:t>
      </w:r>
    </w:p>
    <w:p>
      <w:pPr>
        <w:spacing w:after="0" w:line="200" w:lineRule="exact"/>
        <w:rPr>
          <w:sz w:val="20"/>
          <w:szCs w:val="20"/>
          <w:color w:val="auto"/>
        </w:rPr>
      </w:pPr>
    </w:p>
    <w:p>
      <w:pPr>
        <w:spacing w:after="0" w:line="249" w:lineRule="exact"/>
        <w:rPr>
          <w:sz w:val="20"/>
          <w:szCs w:val="20"/>
          <w:color w:val="auto"/>
        </w:rPr>
      </w:pPr>
    </w:p>
    <w:p>
      <w:pPr>
        <w:ind w:left="571" w:right="60" w:hanging="4"/>
        <w:spacing w:after="0" w:line="253" w:lineRule="auto"/>
        <w:tabs>
          <w:tab w:leader="none" w:pos="1023"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"Reduced Amount" shall be an amount expressed in present value which maximizes the aggregate present value of Payments under this Agreement without causing any Payment under this Agreement to be subject to the Excise Tax (defined below), determined in accordance with section 280G(d)(4) of the Code. The term "Excise Tax" means the excise tax imposed under section 4999 of the Code, together with any interest or penalties imposed with respect to such excise tax.</w:t>
      </w:r>
    </w:p>
    <w:p>
      <w:pPr>
        <w:spacing w:after="0" w:line="205" w:lineRule="exact"/>
        <w:rPr>
          <w:rFonts w:ascii="Times New Roman" w:cs="Times New Roman" w:eastAsia="Times New Roman" w:hAnsi="Times New Roman"/>
          <w:sz w:val="22"/>
          <w:szCs w:val="22"/>
          <w:color w:val="auto"/>
        </w:rPr>
      </w:pPr>
    </w:p>
    <w:p>
      <w:pPr>
        <w:ind w:left="571" w:right="80" w:hanging="4"/>
        <w:spacing w:after="0" w:line="252" w:lineRule="auto"/>
        <w:tabs>
          <w:tab w:leader="none" w:pos="1039"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under this Agreement shall be reduced on a nondiscretionary basis in such a way as to minimize the reduction in the economic value deliverable to the Executive. Where more than one payment has the same value for this purpose and they are payable at different times, they will be reduced on a pro rata basis. Only amounts payable under this Agreement shall be reduced pursuant to this Section.</w:t>
      </w:r>
    </w:p>
    <w:p>
      <w:pPr>
        <w:spacing w:after="0" w:line="219" w:lineRule="exact"/>
        <w:rPr>
          <w:rFonts w:ascii="Times New Roman" w:cs="Times New Roman" w:eastAsia="Times New Roman" w:hAnsi="Times New Roman"/>
          <w:sz w:val="22"/>
          <w:szCs w:val="22"/>
          <w:color w:val="auto"/>
        </w:rPr>
      </w:pPr>
    </w:p>
    <w:p>
      <w:pPr>
        <w:ind w:left="571" w:right="80" w:hanging="4"/>
        <w:spacing w:after="0" w:line="248" w:lineRule="auto"/>
        <w:tabs>
          <w:tab w:leader="none" w:pos="1015"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determinations to be made under this Section shall be made by an independent nationally recognized accounting firm or compensation consultant selected by the Company and agreed to by the Executive immediately prior to the change-in-ownership or -control transaction (the "Accounting Firm"). The Accounting Firm shall provide its determinations and any supporting calculations both to the Company and the Executive within 10 days of the transaction. Any such determination by the Accounting Firm shall be binding upon the Company and the Executive. The Company and the Executive shall cooperate in case of a potential change in ownership or control of the Company to in good faith consider alternatives to mitigate any Section 280G exposure, including the valuation of any noncompetition covenants and/or acceleration of incentive compensation, although the Company cannot guaranty any such alternative arrangements will be available or approved by the Company and neither the Executive nor the Company shall be obligated to enter into any such arrangements. All of the fees and expenses of the Accounting Firm in performing the determinations referred to in this Section shall be borne solely by the Company.</w:t>
      </w:r>
    </w:p>
    <w:p>
      <w:pPr>
        <w:spacing w:after="0" w:line="211" w:lineRule="exact"/>
        <w:rPr>
          <w:rFonts w:ascii="Times New Roman" w:cs="Times New Roman" w:eastAsia="Times New Roman" w:hAnsi="Times New Roman"/>
          <w:sz w:val="22"/>
          <w:szCs w:val="22"/>
          <w:color w:val="auto"/>
        </w:rPr>
      </w:pPr>
    </w:p>
    <w:p>
      <w:pPr>
        <w:ind w:left="331" w:hanging="331"/>
        <w:spacing w:after="0" w:line="275" w:lineRule="auto"/>
        <w:tabs>
          <w:tab w:leader="none" w:pos="33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Descriptive Headings</w:t>
      </w:r>
      <w:r>
        <w:rPr>
          <w:rFonts w:ascii="Times New Roman" w:cs="Times New Roman" w:eastAsia="Times New Roman" w:hAnsi="Times New Roman"/>
          <w:sz w:val="22"/>
          <w:szCs w:val="22"/>
          <w:color w:val="auto"/>
        </w:rPr>
        <w:t>. The section headings contained herein are for reference purposes only and shall not in any way affect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meaning or interpretation of this Agreement.</w:t>
      </w:r>
    </w:p>
    <w:p>
      <w:pPr>
        <w:spacing w:after="0" w:line="176" w:lineRule="exact"/>
        <w:rPr>
          <w:rFonts w:ascii="Times New Roman" w:cs="Times New Roman" w:eastAsia="Times New Roman" w:hAnsi="Times New Roman"/>
          <w:sz w:val="22"/>
          <w:szCs w:val="22"/>
          <w:color w:val="auto"/>
        </w:rPr>
      </w:pPr>
    </w:p>
    <w:p>
      <w:pPr>
        <w:jc w:val="both"/>
        <w:ind w:left="331" w:hanging="331"/>
        <w:spacing w:after="0" w:line="259" w:lineRule="auto"/>
        <w:tabs>
          <w:tab w:leader="none" w:pos="33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Knowing and Voluntary</w:t>
      </w:r>
      <w:r>
        <w:rPr>
          <w:rFonts w:ascii="Times New Roman" w:cs="Times New Roman" w:eastAsia="Times New Roman" w:hAnsi="Times New Roman"/>
          <w:sz w:val="22"/>
          <w:szCs w:val="22"/>
          <w:color w:val="auto"/>
        </w:rPr>
        <w:t>. Executive represents and warrants that she is of sound mind and fully competent to enter into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she enters into this Agreement in exchange for the special payments and benefits provided to her by the Company; she was not induced by fraud or misrepresentation to enter into this Agreement; and she does so knowingly,</w:t>
      </w:r>
    </w:p>
    <w:p>
      <w:pPr>
        <w:sectPr>
          <w:pgSz w:w="11900" w:h="16838" w:orient="portrait"/>
          <w:cols w:equalWidth="0" w:num="1">
            <w:col w:w="11151"/>
          </w:cols>
          <w:pgMar w:left="409" w:top="1422" w:right="339" w:bottom="1440" w:gutter="0" w:footer="0" w:header="0"/>
        </w:sectPr>
      </w:pPr>
    </w:p>
    <w:bookmarkStart w:id="102" w:name="page103"/>
    <w:bookmarkEnd w:id="102"/>
    <w:p>
      <w:pPr>
        <w:ind w:left="420"/>
        <w:spacing w:after="0" w:line="271" w:lineRule="auto"/>
        <w:rPr>
          <w:sz w:val="20"/>
          <w:szCs w:val="20"/>
          <w:color w:val="auto"/>
        </w:rPr>
      </w:pPr>
      <w:r>
        <w:rPr>
          <w:rFonts w:ascii="Times New Roman" w:cs="Times New Roman" w:eastAsia="Times New Roman" w:hAnsi="Times New Roman"/>
          <w:sz w:val="22"/>
          <w:szCs w:val="22"/>
          <w:color w:val="auto"/>
        </w:rPr>
        <w:t>voluntarily, intentionally and with a full understanding of the terms and obligations contained herein, including but not limited to the Executive’s Release in Paragraph 12.</w:t>
      </w:r>
    </w:p>
    <w:p>
      <w:pPr>
        <w:spacing w:after="0" w:line="181" w:lineRule="exact"/>
        <w:rPr>
          <w:sz w:val="20"/>
          <w:szCs w:val="20"/>
          <w:color w:val="auto"/>
        </w:rPr>
      </w:pPr>
    </w:p>
    <w:p>
      <w:pPr>
        <w:jc w:val="both"/>
        <w:ind w:left="420" w:hanging="331"/>
        <w:spacing w:after="0" w:line="263" w:lineRule="auto"/>
        <w:tabs>
          <w:tab w:leader="none" w:pos="42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color w:val="auto"/>
        </w:rPr>
        <w:t>. This Agreement is the entire agreement and understanding between the parties regarding Executive’s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departure from the Company. The following still remain in place: (i) any applicable arbitration agreement; (ii) any governing documentation with respect to any incentive compensation awards, including, without limitation, the Company’s 2011 Stock Incentive Plan and any amendments thereto and any award agreements thereunder; and (iii) prior commitments by Executive concerning confidential information, trade secrets, copyrights, patents or other intellectual property and the like, all of which (in these three categories) shall continue in effect in accordance with their terms ; however, under no circumstances does the Executive have a non-compete or non-solicit obligation greater than one year. The parties agree that they have not relied on any oral statements that are not included in this Agreement. Any modifications to this Agreement must be in writing, must reference this Agreement, and must be signed by Executive and an authorized employee or agent of Wabtec.</w:t>
      </w:r>
    </w:p>
    <w:p>
      <w:pPr>
        <w:spacing w:after="0" w:line="196" w:lineRule="exact"/>
        <w:rPr>
          <w:rFonts w:ascii="Times New Roman" w:cs="Times New Roman" w:eastAsia="Times New Roman" w:hAnsi="Times New Roman"/>
          <w:sz w:val="21"/>
          <w:szCs w:val="21"/>
          <w:color w:val="auto"/>
        </w:rPr>
      </w:pPr>
    </w:p>
    <w:p>
      <w:pPr>
        <w:ind w:left="420" w:hanging="331"/>
        <w:spacing w:after="0" w:line="275" w:lineRule="auto"/>
        <w:tabs>
          <w:tab w:leader="none" w:pos="4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Applicable Law</w:t>
      </w:r>
      <w:r>
        <w:rPr>
          <w:rFonts w:ascii="Times New Roman" w:cs="Times New Roman" w:eastAsia="Times New Roman" w:hAnsi="Times New Roman"/>
          <w:sz w:val="22"/>
          <w:szCs w:val="22"/>
          <w:color w:val="auto"/>
        </w:rPr>
        <w:t>. This Agreement shall be construed, interpreted and applied in accordance with the law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Commonwealth of Pennsylvania.</w:t>
      </w:r>
    </w:p>
    <w:p>
      <w:pPr>
        <w:spacing w:after="0" w:line="176" w:lineRule="exact"/>
        <w:rPr>
          <w:rFonts w:ascii="Times New Roman" w:cs="Times New Roman" w:eastAsia="Times New Roman" w:hAnsi="Times New Roman"/>
          <w:sz w:val="22"/>
          <w:szCs w:val="22"/>
          <w:color w:val="auto"/>
        </w:rPr>
      </w:pPr>
    </w:p>
    <w:p>
      <w:pPr>
        <w:jc w:val="both"/>
        <w:ind w:left="420" w:hanging="331"/>
        <w:spacing w:after="0" w:line="258" w:lineRule="auto"/>
        <w:tabs>
          <w:tab w:leader="none" w:pos="4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Unemployment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this Agreement is intended to affect Executive’s ability to seek Unemployment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Insurance (UI). The Company will provide accurate information in response to requests related to the Executive’s application for UI benefits regarding the terms of her separation from the Company. Executive acknowledges that decisions regarding Executive’s eligibility for UI are made by the State where she worked.</w:t>
      </w:r>
    </w:p>
    <w:p>
      <w:pPr>
        <w:spacing w:after="0" w:line="194" w:lineRule="exact"/>
        <w:rPr>
          <w:rFonts w:ascii="Times New Roman" w:cs="Times New Roman" w:eastAsia="Times New Roman" w:hAnsi="Times New Roman"/>
          <w:sz w:val="22"/>
          <w:szCs w:val="22"/>
          <w:color w:val="auto"/>
        </w:rPr>
      </w:pPr>
    </w:p>
    <w:p>
      <w:pPr>
        <w:ind w:left="420" w:hanging="331"/>
        <w:spacing w:after="0" w:line="275" w:lineRule="auto"/>
        <w:tabs>
          <w:tab w:leader="none" w:pos="4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Format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Executive and the Company agree that a facsimile (“fax”), photographic, or electronic copy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Docusign, shall be as valid as the original.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I acknowledge that I understand the above agreement includes the release of all claims. I understand that I am waiving unknown claims, but not future claims and the claims excluded by this Agreement, and I am doing so voluntarily and intentionally.</w:t>
      </w:r>
    </w:p>
    <w:p>
      <w:pPr>
        <w:sectPr>
          <w:pgSz w:w="11900" w:h="16838" w:orient="portrait"/>
          <w:cols w:equalWidth="0" w:num="1">
            <w:col w:w="11240"/>
          </w:cols>
          <w:pgMar w:left="320" w:top="1422" w:right="339" w:bottom="1440" w:gutter="0" w:footer="0" w:header="0"/>
        </w:sectPr>
      </w:pP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ALICIA HAMMERSMITH</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WABTEC CORPORATION</w:t>
      </w:r>
    </w:p>
    <w:p>
      <w:pPr>
        <w:spacing w:after="0" w:line="200" w:lineRule="exact"/>
        <w:rPr>
          <w:sz w:val="20"/>
          <w:szCs w:val="20"/>
          <w:color w:val="auto"/>
        </w:rPr>
      </w:pPr>
    </w:p>
    <w:p>
      <w:pPr>
        <w:sectPr>
          <w:pgSz w:w="11900" w:h="16838" w:orient="portrait"/>
          <w:cols w:equalWidth="0" w:num="2">
            <w:col w:w="2740" w:space="720"/>
            <w:col w:w="7780"/>
          </w:cols>
          <w:pgMar w:left="320" w:top="1422"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By:__________________________</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w:t>
      </w:r>
    </w:p>
    <w:p>
      <w:pPr>
        <w:spacing w:after="0" w:line="200" w:lineRule="exact"/>
        <w:rPr>
          <w:sz w:val="20"/>
          <w:szCs w:val="20"/>
          <w:color w:val="auto"/>
        </w:rPr>
      </w:pPr>
    </w:p>
    <w:p>
      <w:pPr>
        <w:sectPr>
          <w:pgSz w:w="11900" w:h="16838" w:orient="portrait"/>
          <w:cols w:equalWidth="0" w:num="2">
            <w:col w:w="3120" w:space="720"/>
            <w:col w:w="7400"/>
          </w:cols>
          <w:pgMar w:left="320" w:top="1422" w:right="33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Date:________________________</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Date:________________________</w:t>
      </w:r>
    </w:p>
    <w:p>
      <w:pPr>
        <w:sectPr>
          <w:pgSz w:w="11900" w:h="16838" w:orient="portrait"/>
          <w:cols w:equalWidth="0" w:num="2">
            <w:col w:w="3060" w:space="700"/>
            <w:col w:w="7480"/>
          </w:cols>
          <w:pgMar w:left="320" w:top="1422" w:right="339" w:bottom="1440" w:gutter="0" w:footer="0" w:header="0"/>
          <w:type w:val="continuous"/>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WESTINGHOUSE AIR BRAKE TECHNOLOGIES CORPORATION</w:t>
      </w:r>
    </w:p>
    <w:p>
      <w:pPr>
        <w:spacing w:after="0" w:line="23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33" w:lineRule="exact"/>
        <w:rPr>
          <w:sz w:val="20"/>
          <w:szCs w:val="20"/>
          <w:color w:val="auto"/>
        </w:rPr>
      </w:pPr>
    </w:p>
    <w:p>
      <w:pPr>
        <w:ind w:left="328" w:right="160" w:hanging="328"/>
        <w:spacing w:after="0" w:line="228" w:lineRule="auto"/>
        <w:tabs>
          <w:tab w:leader="none" w:pos="317"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Purpose</w:t>
      </w:r>
      <w:r>
        <w:rPr>
          <w:rFonts w:ascii="Times New Roman" w:cs="Times New Roman" w:eastAsia="Times New Roman" w:hAnsi="Times New Roman"/>
          <w:sz w:val="22"/>
          <w:szCs w:val="22"/>
          <w:color w:val="auto"/>
        </w:rPr>
        <w:t>. The Wabtec Board of Directors believes that any appearance of improper conduct on the part of any officers,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or employees of Wabtec or any subsidiary of Wabtec as a result of their transacting in any securities of Wabtec (“Wabtec securities”) must be avoided. The Board has adopted this Insider Trading Policy to accomplish this result and help assure that Wabtec’s representatives will at all times be perceived as having the highest character and integrity. This Insider Trading Policy, as well as certain U.S. federal securities laws, also applies to family members, trusts, estates or other entities controlled by an officer, director or employee.</w:t>
      </w:r>
    </w:p>
    <w:p>
      <w:pPr>
        <w:spacing w:after="0" w:line="195" w:lineRule="exact"/>
        <w:rPr>
          <w:rFonts w:ascii="Arial" w:cs="Arial" w:eastAsia="Arial" w:hAnsi="Arial"/>
          <w:sz w:val="20"/>
          <w:szCs w:val="20"/>
          <w:color w:val="auto"/>
        </w:rPr>
      </w:pPr>
    </w:p>
    <w:p>
      <w:pPr>
        <w:ind w:left="328" w:right="160"/>
        <w:spacing w:after="0" w:line="230" w:lineRule="auto"/>
        <w:rPr>
          <w:rFonts w:ascii="Arial" w:cs="Arial" w:eastAsia="Arial" w:hAnsi="Arial"/>
          <w:sz w:val="20"/>
          <w:szCs w:val="20"/>
          <w:color w:val="auto"/>
        </w:rPr>
      </w:pPr>
      <w:r>
        <w:rPr>
          <w:rFonts w:ascii="Times New Roman" w:cs="Times New Roman" w:eastAsia="Times New Roman" w:hAnsi="Times New Roman"/>
          <w:sz w:val="22"/>
          <w:szCs w:val="22"/>
          <w:color w:val="auto"/>
        </w:rPr>
        <w:t>The obligation to adhere to U.S. federal securities laws and this policy as it relates to Wabtec securities will survive your separation from Wabtec. Upon separation from Wabtec, if you hold Wabtec securities, you should contact the Legal Department to understand your post-separation obligations with respect to compliance with this policy and U.S. federal securities laws.</w:t>
      </w:r>
    </w:p>
    <w:p>
      <w:pPr>
        <w:spacing w:after="0" w:line="187" w:lineRule="exact"/>
        <w:rPr>
          <w:rFonts w:ascii="Arial" w:cs="Arial" w:eastAsia="Arial" w:hAnsi="Arial"/>
          <w:sz w:val="20"/>
          <w:szCs w:val="20"/>
          <w:color w:val="auto"/>
        </w:rPr>
      </w:pPr>
    </w:p>
    <w:p>
      <w:pPr>
        <w:ind w:left="328" w:right="140" w:hanging="328"/>
        <w:spacing w:after="0" w:line="233" w:lineRule="auto"/>
        <w:tabs>
          <w:tab w:leader="none" w:pos="317"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 xml:space="preserve">Scope. </w:t>
      </w:r>
      <w:r>
        <w:rPr>
          <w:rFonts w:ascii="Times New Roman" w:cs="Times New Roman" w:eastAsia="Times New Roman" w:hAnsi="Times New Roman"/>
          <w:sz w:val="22"/>
          <w:szCs w:val="22"/>
          <w:color w:val="auto"/>
        </w:rPr>
        <w:t>This Policy applies to all Wabtec directors, officers, and employees, including individuals employed at domestic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foreign subsidiaries and joint ventures controlled by the Company (collectively “Company Personnel”), to family members of or trusts, estates or other entities controlled by Company Personnel and, where necessary and appropriate, to any outside parties who act on behalf of the Company (collectively “Associated Parties”), further defined below in Definitions.</w:t>
      </w:r>
    </w:p>
    <w:p>
      <w:pPr>
        <w:spacing w:after="0" w:line="193" w:lineRule="exact"/>
        <w:rPr>
          <w:rFonts w:ascii="Arial" w:cs="Arial" w:eastAsia="Arial" w:hAnsi="Arial"/>
          <w:sz w:val="20"/>
          <w:szCs w:val="20"/>
          <w:color w:val="auto"/>
        </w:rPr>
      </w:pPr>
    </w:p>
    <w:p>
      <w:pPr>
        <w:ind w:left="328"/>
        <w:spacing w:after="0"/>
        <w:rPr>
          <w:rFonts w:ascii="Arial" w:cs="Arial" w:eastAsia="Arial" w:hAnsi="Arial"/>
          <w:sz w:val="20"/>
          <w:szCs w:val="20"/>
          <w:color w:val="auto"/>
        </w:rPr>
      </w:pPr>
      <w:r>
        <w:rPr>
          <w:rFonts w:ascii="Times New Roman" w:cs="Times New Roman" w:eastAsia="Times New Roman" w:hAnsi="Times New Roman"/>
          <w:sz w:val="22"/>
          <w:szCs w:val="22"/>
          <w:color w:val="auto"/>
        </w:rPr>
        <w:t>Responsibilities: All Company Personnel and Associated Parties must:</w:t>
      </w:r>
    </w:p>
    <w:p>
      <w:pPr>
        <w:spacing w:after="0" w:line="219" w:lineRule="exact"/>
        <w:rPr>
          <w:rFonts w:ascii="Arial" w:cs="Arial" w:eastAsia="Arial" w:hAnsi="Arial"/>
          <w:sz w:val="20"/>
          <w:szCs w:val="20"/>
          <w:color w:val="auto"/>
        </w:rPr>
      </w:pPr>
    </w:p>
    <w:p>
      <w:pPr>
        <w:ind w:left="968" w:hanging="320"/>
        <w:spacing w:after="0"/>
        <w:tabs>
          <w:tab w:leader="none" w:pos="968" w:val="left"/>
        </w:tabs>
        <w:numPr>
          <w:ilvl w:val="1"/>
          <w:numId w:val="53"/>
        </w:numPr>
        <w:rPr>
          <w:rFonts w:ascii="Arial" w:cs="Arial" w:eastAsia="Arial" w:hAnsi="Arial"/>
          <w:sz w:val="20"/>
          <w:szCs w:val="20"/>
          <w:color w:val="auto"/>
        </w:rPr>
      </w:pPr>
      <w:r>
        <w:rPr>
          <w:rFonts w:ascii="Times New Roman" w:cs="Times New Roman" w:eastAsia="Times New Roman" w:hAnsi="Times New Roman"/>
          <w:sz w:val="22"/>
          <w:szCs w:val="22"/>
          <w:color w:val="auto"/>
        </w:rPr>
        <w:t>Read, understand and comply with the mandates set forth in this Policy (Adherence is Mandatory);</w:t>
      </w:r>
    </w:p>
    <w:p>
      <w:pPr>
        <w:ind w:left="968" w:hanging="320"/>
        <w:spacing w:after="0" w:line="230" w:lineRule="auto"/>
        <w:tabs>
          <w:tab w:leader="none" w:pos="968" w:val="left"/>
        </w:tabs>
        <w:numPr>
          <w:ilvl w:val="1"/>
          <w:numId w:val="53"/>
        </w:numPr>
        <w:rPr>
          <w:rFonts w:ascii="Arial" w:cs="Arial" w:eastAsia="Arial" w:hAnsi="Arial"/>
          <w:sz w:val="20"/>
          <w:szCs w:val="20"/>
          <w:color w:val="auto"/>
        </w:rPr>
      </w:pPr>
      <w:r>
        <w:rPr>
          <w:rFonts w:ascii="Times New Roman" w:cs="Times New Roman" w:eastAsia="Times New Roman" w:hAnsi="Times New Roman"/>
          <w:sz w:val="22"/>
          <w:szCs w:val="22"/>
          <w:color w:val="auto"/>
        </w:rPr>
        <w:t>Communicate and reinforce the mandates with individuals they supervise;</w:t>
      </w:r>
    </w:p>
    <w:p>
      <w:pPr>
        <w:ind w:left="968" w:hanging="320"/>
        <w:spacing w:after="0" w:line="230" w:lineRule="auto"/>
        <w:tabs>
          <w:tab w:leader="none" w:pos="968" w:val="left"/>
        </w:tabs>
        <w:numPr>
          <w:ilvl w:val="1"/>
          <w:numId w:val="53"/>
        </w:numPr>
        <w:rPr>
          <w:rFonts w:ascii="Arial" w:cs="Arial" w:eastAsia="Arial" w:hAnsi="Arial"/>
          <w:sz w:val="20"/>
          <w:szCs w:val="20"/>
          <w:color w:val="auto"/>
        </w:rPr>
      </w:pPr>
      <w:r>
        <w:rPr>
          <w:rFonts w:ascii="Times New Roman" w:cs="Times New Roman" w:eastAsia="Times New Roman" w:hAnsi="Times New Roman"/>
          <w:sz w:val="22"/>
          <w:szCs w:val="22"/>
          <w:color w:val="auto"/>
        </w:rPr>
        <w:t>Properly manage and monitor business activities;</w:t>
      </w:r>
    </w:p>
    <w:p>
      <w:pPr>
        <w:ind w:left="968" w:hanging="320"/>
        <w:spacing w:after="0" w:line="217" w:lineRule="auto"/>
        <w:tabs>
          <w:tab w:leader="none" w:pos="968" w:val="left"/>
        </w:tabs>
        <w:numPr>
          <w:ilvl w:val="1"/>
          <w:numId w:val="53"/>
        </w:numPr>
        <w:rPr>
          <w:rFonts w:ascii="Arial" w:cs="Arial" w:eastAsia="Arial" w:hAnsi="Arial"/>
          <w:sz w:val="20"/>
          <w:szCs w:val="20"/>
          <w:color w:val="auto"/>
        </w:rPr>
      </w:pPr>
      <w:r>
        <w:rPr>
          <w:rFonts w:ascii="Times New Roman" w:cs="Times New Roman" w:eastAsia="Times New Roman" w:hAnsi="Times New Roman"/>
          <w:sz w:val="22"/>
          <w:szCs w:val="22"/>
          <w:color w:val="auto"/>
        </w:rPr>
        <w:t>Be alert to indications or evidence of possible wrongdoings; and</w:t>
      </w:r>
    </w:p>
    <w:p>
      <w:pPr>
        <w:ind w:left="968" w:hanging="320"/>
        <w:spacing w:after="0"/>
        <w:tabs>
          <w:tab w:leader="none" w:pos="968" w:val="left"/>
        </w:tabs>
        <w:numPr>
          <w:ilvl w:val="1"/>
          <w:numId w:val="53"/>
        </w:numPr>
        <w:rPr>
          <w:rFonts w:ascii="Arial" w:cs="Arial" w:eastAsia="Arial" w:hAnsi="Arial"/>
          <w:sz w:val="20"/>
          <w:szCs w:val="20"/>
          <w:color w:val="auto"/>
        </w:rPr>
      </w:pPr>
      <w:r>
        <w:rPr>
          <w:rFonts w:ascii="Times New Roman" w:cs="Times New Roman" w:eastAsia="Times New Roman" w:hAnsi="Times New Roman"/>
          <w:sz w:val="22"/>
          <w:szCs w:val="22"/>
          <w:color w:val="auto"/>
        </w:rPr>
        <w:t>Immediately report any actual or suspected violations.</w:t>
      </w:r>
    </w:p>
    <w:p>
      <w:pPr>
        <w:spacing w:after="0" w:line="205" w:lineRule="exact"/>
        <w:rPr>
          <w:sz w:val="20"/>
          <w:szCs w:val="20"/>
          <w:color w:val="auto"/>
        </w:rPr>
      </w:pPr>
    </w:p>
    <w:p>
      <w:pPr>
        <w:ind w:left="328" w:right="160"/>
        <w:spacing w:after="0" w:line="235" w:lineRule="auto"/>
        <w:rPr>
          <w:sz w:val="20"/>
          <w:szCs w:val="20"/>
          <w:color w:val="auto"/>
        </w:rPr>
      </w:pPr>
      <w:r>
        <w:rPr>
          <w:rFonts w:ascii="Times New Roman" w:cs="Times New Roman" w:eastAsia="Times New Roman" w:hAnsi="Times New Roman"/>
          <w:sz w:val="22"/>
          <w:szCs w:val="22"/>
          <w:i w:val="1"/>
          <w:iCs w:val="1"/>
          <w:color w:val="auto"/>
        </w:rPr>
        <w:t>Non-Compliance</w:t>
      </w:r>
      <w:r>
        <w:rPr>
          <w:rFonts w:ascii="Times New Roman" w:cs="Times New Roman" w:eastAsia="Times New Roman" w:hAnsi="Times New Roman"/>
          <w:sz w:val="22"/>
          <w:szCs w:val="22"/>
          <w:color w:val="auto"/>
        </w:rPr>
        <w:t>: All Company Personnel must always comply with this policy. Non-compliance with this policy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result in disciplinary action, up to and including termination of employment or contract, as well as legal consequences in the case of any violation of laws, rules, or regulations.</w:t>
      </w:r>
    </w:p>
    <w:p>
      <w:pPr>
        <w:spacing w:after="0" w:line="1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b w:val="1"/>
          <w:bCs w:val="1"/>
          <w:color w:val="auto"/>
        </w:rPr>
        <w:t>3.  Policy Statement</w:t>
      </w:r>
    </w:p>
    <w:p>
      <w:pPr>
        <w:spacing w:after="0" w:line="2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b w:val="1"/>
          <w:bCs w:val="1"/>
          <w:color w:val="auto"/>
        </w:rPr>
        <w:t>A. General Insider Trading Policy</w:t>
      </w:r>
    </w:p>
    <w:p>
      <w:pPr>
        <w:spacing w:after="0" w:line="220" w:lineRule="exact"/>
        <w:rPr>
          <w:sz w:val="20"/>
          <w:szCs w:val="20"/>
          <w:color w:val="auto"/>
        </w:rPr>
      </w:pPr>
    </w:p>
    <w:p>
      <w:pPr>
        <w:ind w:left="328" w:right="20" w:hanging="328"/>
        <w:spacing w:after="0" w:line="231" w:lineRule="auto"/>
        <w:tabs>
          <w:tab w:leader="none" w:pos="32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Prohibition on Insider Trading</w:t>
      </w:r>
      <w:r>
        <w:rPr>
          <w:rFonts w:ascii="Times New Roman" w:cs="Times New Roman" w:eastAsia="Times New Roman" w:hAnsi="Times New Roman"/>
          <w:sz w:val="22"/>
          <w:szCs w:val="22"/>
          <w:color w:val="auto"/>
        </w:rPr>
        <w:t>. The U.S. federal securities laws prohibit anyone from purchasing or selling securities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publicly-held company such as Wabtec, either in the open market or in private transactions, if they possess material, non-public information about the company. Because of their positions, directors, officers and employees may routinely be aware of material, non-public information about Wabtec. The U.S. federal</w:t>
      </w:r>
    </w:p>
    <w:p>
      <w:pPr>
        <w:sectPr>
          <w:pgSz w:w="11900" w:h="16838" w:orient="portrait"/>
          <w:cols w:equalWidth="0" w:num="1">
            <w:col w:w="10908"/>
          </w:cols>
          <w:pgMar w:left="652" w:top="117" w:right="339" w:bottom="1440" w:gutter="0" w:footer="0" w:header="0"/>
        </w:sectPr>
      </w:pPr>
    </w:p>
    <w:bookmarkStart w:id="104" w:name="page105"/>
    <w:bookmarkEnd w:id="104"/>
    <w:p>
      <w:pPr>
        <w:ind w:left="328" w:right="60"/>
        <w:spacing w:after="0" w:line="226" w:lineRule="auto"/>
        <w:rPr>
          <w:sz w:val="20"/>
          <w:szCs w:val="20"/>
          <w:color w:val="auto"/>
        </w:rPr>
      </w:pPr>
      <w:r>
        <w:rPr>
          <w:rFonts w:ascii="Times New Roman" w:cs="Times New Roman" w:eastAsia="Times New Roman" w:hAnsi="Times New Roman"/>
          <w:sz w:val="22"/>
          <w:szCs w:val="22"/>
          <w:color w:val="auto"/>
        </w:rPr>
        <w:t>securities laws also prohibit giving tips to others based upon such information and prohibit the receiver of tips, the “tippee,” from acting on corporate inside information. Similarly, you may learn of material, non-public information about other companies as a result of your position with Wabtec. Investments in or sales of securities of other companies with which Wabtec transacts business must not be based on inside information. Prohibitions against insider trading apply equally to transactions in those companies while you are in possession of their material, nonpublic information. Such investments or sales may violate the law as well as the trust which Wabtec places in those persons with access to non-public information.</w:t>
      </w:r>
    </w:p>
    <w:p>
      <w:pPr>
        <w:spacing w:after="0" w:line="191" w:lineRule="exact"/>
        <w:rPr>
          <w:sz w:val="20"/>
          <w:szCs w:val="20"/>
          <w:color w:val="auto"/>
        </w:rPr>
      </w:pPr>
    </w:p>
    <w:p>
      <w:pPr>
        <w:ind w:left="328" w:right="20" w:hanging="328"/>
        <w:spacing w:after="0" w:line="227" w:lineRule="auto"/>
        <w:tabs>
          <w:tab w:leader="none" w:pos="317"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Applicability/Employee Benefit Plans</w:t>
      </w:r>
      <w:r>
        <w:rPr>
          <w:rFonts w:ascii="Times New Roman" w:cs="Times New Roman" w:eastAsia="Times New Roman" w:hAnsi="Times New Roman"/>
          <w:sz w:val="22"/>
          <w:szCs w:val="22"/>
          <w:color w:val="auto"/>
        </w:rPr>
        <w:t>. This Policy applies to all transactions in Wabtec securities, including purchases,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sales and gifts. This Policy applies to all Wabtec securities including, but not limited to, common stock and options to purchase common stock. The prohibitions and restrictions set forth in this Policy do not apply to periodic contributions by employees to employee benefit plans (e.g. 401K Plans) which are used to purchase Wabtec securities pursuant to the employees’ advance instructions. However, employees may not alter their instructions regarding the purchase or sale of Wabtec securities in such plans, or make discretionary transfers into or out of Wabtec securities in such plans, while in the possession of material, non-public information.</w:t>
      </w:r>
    </w:p>
    <w:p>
      <w:pPr>
        <w:spacing w:after="0" w:line="188" w:lineRule="exact"/>
        <w:rPr>
          <w:rFonts w:ascii="Arial" w:cs="Arial" w:eastAsia="Arial" w:hAnsi="Arial"/>
          <w:sz w:val="20"/>
          <w:szCs w:val="20"/>
          <w:color w:val="auto"/>
        </w:rPr>
      </w:pPr>
    </w:p>
    <w:p>
      <w:pPr>
        <w:ind w:left="328" w:right="180" w:hanging="328"/>
        <w:spacing w:after="0" w:line="231" w:lineRule="auto"/>
        <w:tabs>
          <w:tab w:leader="none" w:pos="32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Compliance</w:t>
      </w:r>
      <w:r>
        <w:rPr>
          <w:rFonts w:ascii="Times New Roman" w:cs="Times New Roman" w:eastAsia="Times New Roman" w:hAnsi="Times New Roman"/>
          <w:sz w:val="22"/>
          <w:szCs w:val="22"/>
          <w:color w:val="auto"/>
        </w:rPr>
        <w:t>. This Policy is not intended to replace your responsibility to understand and comply with the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prohibition on insider trading. The misuse of inside information or engaging in insider trading may result in disciplinary action, including termination, as well as the imposition of civil and criminal penalties. If you have specific questions regarding this Policy or the applicable law, please contact Wabtec’s Legal Department.</w:t>
      </w:r>
    </w:p>
    <w:p>
      <w:pPr>
        <w:spacing w:after="0" w:line="200" w:lineRule="exact"/>
        <w:rPr>
          <w:rFonts w:ascii="Times New Roman" w:cs="Times New Roman" w:eastAsia="Times New Roman" w:hAnsi="Times New Roman"/>
          <w:sz w:val="22"/>
          <w:szCs w:val="22"/>
          <w:color w:val="auto"/>
        </w:rPr>
      </w:pPr>
    </w:p>
    <w:p>
      <w:pPr>
        <w:ind w:left="328" w:hanging="328"/>
        <w:spacing w:after="0" w:line="239" w:lineRule="auto"/>
        <w:tabs>
          <w:tab w:leader="none" w:pos="317" w:val="left"/>
        </w:tabs>
        <w:numPr>
          <w:ilvl w:val="0"/>
          <w:numId w:val="55"/>
        </w:numPr>
        <w:rPr>
          <w:rFonts w:ascii="Arial" w:cs="Arial" w:eastAsia="Arial" w:hAnsi="Arial"/>
          <w:sz w:val="19"/>
          <w:szCs w:val="19"/>
          <w:color w:val="auto"/>
        </w:rPr>
      </w:pPr>
      <w:r>
        <w:rPr>
          <w:rFonts w:ascii="Times New Roman" w:cs="Times New Roman" w:eastAsia="Times New Roman" w:hAnsi="Times New Roman"/>
          <w:sz w:val="21"/>
          <w:szCs w:val="21"/>
          <w:b w:val="1"/>
          <w:bCs w:val="1"/>
          <w:color w:val="auto"/>
        </w:rPr>
        <w:t>Material, Non-Public Information</w:t>
      </w:r>
      <w:r>
        <w:rPr>
          <w:rFonts w:ascii="Times New Roman" w:cs="Times New Roman" w:eastAsia="Times New Roman" w:hAnsi="Times New Roman"/>
          <w:sz w:val="21"/>
          <w:szCs w:val="21"/>
          <w:color w:val="auto"/>
        </w:rPr>
        <w:t>. Information is considered material if it would be deemed important by a reasonable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investor in deciding whether to buy, sell, or refrain from any activity regarding Wabtec securities. Information also is considered to be material if it likely would have a significant impact on the market price of Wabtec securities. Information is considered non-public until it has been effectively disclosed to the public and there has been adequate time for the market as a whole to digest the information. Effective disclosures typically include Wabtec’s filings with the Securities and Exchange Commission (the “SEC”), press releases, and conference calls or webcasts that are open to the public.</w:t>
      </w:r>
    </w:p>
    <w:p>
      <w:pPr>
        <w:spacing w:after="0" w:line="194" w:lineRule="exact"/>
        <w:rPr>
          <w:rFonts w:ascii="Arial" w:cs="Arial" w:eastAsia="Arial" w:hAnsi="Arial"/>
          <w:sz w:val="19"/>
          <w:szCs w:val="19"/>
          <w:color w:val="auto"/>
        </w:rPr>
      </w:pPr>
    </w:p>
    <w:p>
      <w:pPr>
        <w:ind w:left="328" w:right="680"/>
        <w:spacing w:after="0" w:line="245" w:lineRule="auto"/>
        <w:rPr>
          <w:rFonts w:ascii="Arial" w:cs="Arial" w:eastAsia="Arial" w:hAnsi="Arial"/>
          <w:sz w:val="19"/>
          <w:szCs w:val="19"/>
          <w:color w:val="auto"/>
        </w:rPr>
      </w:pPr>
      <w:r>
        <w:rPr>
          <w:rFonts w:ascii="Times New Roman" w:cs="Times New Roman" w:eastAsia="Times New Roman" w:hAnsi="Times New Roman"/>
          <w:sz w:val="22"/>
          <w:szCs w:val="22"/>
          <w:color w:val="auto"/>
        </w:rPr>
        <w:t>While it is not possible to compile an exhaustive list, information concerning any of the following items should be reviewed carefully to determine whether such information is material:</w:t>
      </w:r>
    </w:p>
    <w:p>
      <w:pPr>
        <w:spacing w:after="0" w:line="185" w:lineRule="exact"/>
        <w:rPr>
          <w:rFonts w:ascii="Arial" w:cs="Arial" w:eastAsia="Arial" w:hAnsi="Arial"/>
          <w:sz w:val="19"/>
          <w:szCs w:val="19"/>
          <w:color w:val="auto"/>
        </w:rPr>
      </w:pPr>
    </w:p>
    <w:p>
      <w:pPr>
        <w:ind w:left="628" w:hanging="304"/>
        <w:spacing w:after="0"/>
        <w:tabs>
          <w:tab w:leader="none" w:pos="628" w:val="left"/>
        </w:tabs>
        <w:numPr>
          <w:ilvl w:val="1"/>
          <w:numId w:val="55"/>
        </w:numPr>
        <w:rPr>
          <w:rFonts w:ascii="Arial" w:cs="Arial" w:eastAsia="Arial" w:hAnsi="Arial"/>
          <w:sz w:val="20"/>
          <w:szCs w:val="20"/>
          <w:color w:val="auto"/>
        </w:rPr>
      </w:pPr>
      <w:r>
        <w:rPr>
          <w:rFonts w:ascii="Times New Roman" w:cs="Times New Roman" w:eastAsia="Times New Roman" w:hAnsi="Times New Roman"/>
          <w:sz w:val="22"/>
          <w:szCs w:val="22"/>
          <w:color w:val="auto"/>
        </w:rPr>
        <w:t>annual or quarterly financial results;</w:t>
      </w:r>
    </w:p>
    <w:p>
      <w:pPr>
        <w:spacing w:after="0" w:line="14" w:lineRule="exact"/>
        <w:rPr>
          <w:rFonts w:ascii="Arial" w:cs="Arial" w:eastAsia="Arial" w:hAnsi="Arial"/>
          <w:sz w:val="20"/>
          <w:szCs w:val="20"/>
          <w:color w:val="auto"/>
        </w:rPr>
      </w:pPr>
    </w:p>
    <w:p>
      <w:pPr>
        <w:ind w:left="628" w:hanging="304"/>
        <w:spacing w:after="0" w:line="217" w:lineRule="auto"/>
        <w:tabs>
          <w:tab w:leader="none" w:pos="628" w:val="left"/>
        </w:tabs>
        <w:numPr>
          <w:ilvl w:val="1"/>
          <w:numId w:val="55"/>
        </w:numPr>
        <w:rPr>
          <w:rFonts w:ascii="Arial" w:cs="Arial" w:eastAsia="Arial" w:hAnsi="Arial"/>
          <w:sz w:val="20"/>
          <w:szCs w:val="20"/>
          <w:color w:val="auto"/>
        </w:rPr>
      </w:pPr>
      <w:r>
        <w:rPr>
          <w:rFonts w:ascii="Times New Roman" w:cs="Times New Roman" w:eastAsia="Times New Roman" w:hAnsi="Times New Roman"/>
          <w:sz w:val="22"/>
          <w:szCs w:val="22"/>
          <w:color w:val="auto"/>
        </w:rPr>
        <w:t>a significant change in earnings or earnings projections;</w:t>
      </w:r>
    </w:p>
    <w:p>
      <w:pPr>
        <w:ind w:left="628" w:hanging="304"/>
        <w:spacing w:after="0" w:line="230" w:lineRule="auto"/>
        <w:tabs>
          <w:tab w:leader="none" w:pos="628" w:val="left"/>
        </w:tabs>
        <w:numPr>
          <w:ilvl w:val="1"/>
          <w:numId w:val="55"/>
        </w:numPr>
        <w:rPr>
          <w:rFonts w:ascii="Arial" w:cs="Arial" w:eastAsia="Arial" w:hAnsi="Arial"/>
          <w:sz w:val="20"/>
          <w:szCs w:val="20"/>
          <w:color w:val="auto"/>
        </w:rPr>
      </w:pPr>
      <w:r>
        <w:rPr>
          <w:rFonts w:ascii="Times New Roman" w:cs="Times New Roman" w:eastAsia="Times New Roman" w:hAnsi="Times New Roman"/>
          <w:sz w:val="22"/>
          <w:szCs w:val="22"/>
          <w:color w:val="auto"/>
        </w:rPr>
        <w:t>significant changes in Wabtec’s debt ratings;</w:t>
      </w:r>
    </w:p>
    <w:p>
      <w:pPr>
        <w:ind w:left="628" w:hanging="304"/>
        <w:spacing w:after="0" w:line="230" w:lineRule="auto"/>
        <w:tabs>
          <w:tab w:leader="none" w:pos="628" w:val="left"/>
        </w:tabs>
        <w:numPr>
          <w:ilvl w:val="1"/>
          <w:numId w:val="55"/>
        </w:numPr>
        <w:rPr>
          <w:rFonts w:ascii="Arial" w:cs="Arial" w:eastAsia="Arial" w:hAnsi="Arial"/>
          <w:sz w:val="20"/>
          <w:szCs w:val="20"/>
          <w:color w:val="auto"/>
        </w:rPr>
      </w:pPr>
      <w:r>
        <w:rPr>
          <w:rFonts w:ascii="Times New Roman" w:cs="Times New Roman" w:eastAsia="Times New Roman" w:hAnsi="Times New Roman"/>
          <w:sz w:val="22"/>
          <w:szCs w:val="22"/>
          <w:color w:val="auto"/>
        </w:rPr>
        <w:t>unusual gains or losses in major operations;</w:t>
      </w:r>
    </w:p>
    <w:p>
      <w:pPr>
        <w:ind w:left="628" w:hanging="304"/>
        <w:spacing w:after="0" w:line="217" w:lineRule="auto"/>
        <w:tabs>
          <w:tab w:leader="none" w:pos="628" w:val="left"/>
        </w:tabs>
        <w:numPr>
          <w:ilvl w:val="1"/>
          <w:numId w:val="55"/>
        </w:numPr>
        <w:rPr>
          <w:rFonts w:ascii="Arial" w:cs="Arial" w:eastAsia="Arial" w:hAnsi="Arial"/>
          <w:sz w:val="20"/>
          <w:szCs w:val="20"/>
          <w:color w:val="auto"/>
        </w:rPr>
      </w:pPr>
      <w:r>
        <w:rPr>
          <w:rFonts w:ascii="Times New Roman" w:cs="Times New Roman" w:eastAsia="Times New Roman" w:hAnsi="Times New Roman"/>
          <w:sz w:val="22"/>
          <w:szCs w:val="22"/>
          <w:color w:val="auto"/>
        </w:rPr>
        <w:t>negotiations and agreements regarding significant customer contracts,</w:t>
      </w:r>
    </w:p>
    <w:p>
      <w:pPr>
        <w:ind w:left="628" w:hanging="304"/>
        <w:spacing w:after="0" w:line="230" w:lineRule="auto"/>
        <w:tabs>
          <w:tab w:leader="none" w:pos="628" w:val="left"/>
        </w:tabs>
        <w:numPr>
          <w:ilvl w:val="1"/>
          <w:numId w:val="55"/>
        </w:numPr>
        <w:rPr>
          <w:rFonts w:ascii="Arial" w:cs="Arial" w:eastAsia="Arial" w:hAnsi="Arial"/>
          <w:sz w:val="20"/>
          <w:szCs w:val="20"/>
          <w:color w:val="auto"/>
        </w:rPr>
      </w:pPr>
      <w:r>
        <w:rPr>
          <w:rFonts w:ascii="Times New Roman" w:cs="Times New Roman" w:eastAsia="Times New Roman" w:hAnsi="Times New Roman"/>
          <w:sz w:val="22"/>
          <w:szCs w:val="22"/>
          <w:color w:val="auto"/>
        </w:rPr>
        <w:t>significant acquisitions, divestitures, or business combinations;</w:t>
      </w:r>
    </w:p>
    <w:p>
      <w:pPr>
        <w:ind w:left="628" w:hanging="304"/>
        <w:spacing w:after="0" w:line="230" w:lineRule="auto"/>
        <w:tabs>
          <w:tab w:leader="none" w:pos="628" w:val="left"/>
        </w:tabs>
        <w:numPr>
          <w:ilvl w:val="1"/>
          <w:numId w:val="55"/>
        </w:numPr>
        <w:rPr>
          <w:rFonts w:ascii="Arial" w:cs="Arial" w:eastAsia="Arial" w:hAnsi="Arial"/>
          <w:sz w:val="20"/>
          <w:szCs w:val="20"/>
          <w:color w:val="auto"/>
        </w:rPr>
      </w:pPr>
      <w:r>
        <w:rPr>
          <w:rFonts w:ascii="Times New Roman" w:cs="Times New Roman" w:eastAsia="Times New Roman" w:hAnsi="Times New Roman"/>
          <w:sz w:val="22"/>
          <w:szCs w:val="22"/>
          <w:color w:val="auto"/>
        </w:rPr>
        <w:t>a significant increase or decrease in dividends on Wabtec’s stock;</w:t>
      </w:r>
    </w:p>
    <w:p>
      <w:pPr>
        <w:ind w:left="628" w:hanging="304"/>
        <w:spacing w:after="0" w:line="230" w:lineRule="auto"/>
        <w:tabs>
          <w:tab w:leader="none" w:pos="628" w:val="left"/>
        </w:tabs>
        <w:numPr>
          <w:ilvl w:val="1"/>
          <w:numId w:val="55"/>
        </w:numPr>
        <w:rPr>
          <w:rFonts w:ascii="Arial" w:cs="Arial" w:eastAsia="Arial" w:hAnsi="Arial"/>
          <w:sz w:val="20"/>
          <w:szCs w:val="20"/>
          <w:color w:val="auto"/>
        </w:rPr>
      </w:pPr>
      <w:r>
        <w:rPr>
          <w:rFonts w:ascii="Times New Roman" w:cs="Times New Roman" w:eastAsia="Times New Roman" w:hAnsi="Times New Roman"/>
          <w:sz w:val="22"/>
          <w:szCs w:val="22"/>
          <w:color w:val="auto"/>
        </w:rPr>
        <w:t>planned stock splits or debt or equity offerings;</w:t>
      </w:r>
    </w:p>
    <w:p>
      <w:pPr>
        <w:ind w:left="628" w:hanging="304"/>
        <w:spacing w:after="0"/>
        <w:tabs>
          <w:tab w:leader="none" w:pos="628" w:val="left"/>
        </w:tabs>
        <w:numPr>
          <w:ilvl w:val="1"/>
          <w:numId w:val="55"/>
        </w:numPr>
        <w:rPr>
          <w:rFonts w:ascii="Arial" w:cs="Arial" w:eastAsia="Arial" w:hAnsi="Arial"/>
          <w:sz w:val="20"/>
          <w:szCs w:val="20"/>
          <w:color w:val="auto"/>
        </w:rPr>
      </w:pPr>
      <w:r>
        <w:rPr>
          <w:rFonts w:ascii="Times New Roman" w:cs="Times New Roman" w:eastAsia="Times New Roman" w:hAnsi="Times New Roman"/>
          <w:sz w:val="22"/>
          <w:szCs w:val="22"/>
          <w:color w:val="auto"/>
        </w:rPr>
        <w:t>actual or threatened significant litigation or government proceedings or the resolution thereof;</w:t>
      </w:r>
    </w:p>
    <w:p>
      <w:pPr>
        <w:sectPr>
          <w:pgSz w:w="11900" w:h="16838" w:orient="portrait"/>
          <w:cols w:equalWidth="0" w:num="1">
            <w:col w:w="10888"/>
          </w:cols>
          <w:pgMar w:left="652" w:top="1408" w:right="359" w:bottom="1440" w:gutter="0" w:footer="0" w:header="0"/>
        </w:sectPr>
      </w:pPr>
    </w:p>
    <w:bookmarkStart w:id="105" w:name="page106"/>
    <w:bookmarkEnd w:id="105"/>
    <w:p>
      <w:pPr>
        <w:ind w:left="628" w:hanging="304"/>
        <w:spacing w:after="0"/>
        <w:tabs>
          <w:tab w:leader="none" w:pos="628"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2"/>
          <w:szCs w:val="22"/>
          <w:color w:val="auto"/>
        </w:rPr>
        <w:t>major management changes; and</w:t>
      </w:r>
    </w:p>
    <w:p>
      <w:pPr>
        <w:spacing w:after="0" w:line="14" w:lineRule="exact"/>
        <w:rPr>
          <w:rFonts w:ascii="Arial" w:cs="Arial" w:eastAsia="Arial" w:hAnsi="Arial"/>
          <w:sz w:val="20"/>
          <w:szCs w:val="20"/>
          <w:color w:val="auto"/>
        </w:rPr>
      </w:pPr>
    </w:p>
    <w:p>
      <w:pPr>
        <w:ind w:left="628" w:hanging="304"/>
        <w:spacing w:after="0"/>
        <w:tabs>
          <w:tab w:leader="none" w:pos="628"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2"/>
          <w:szCs w:val="22"/>
          <w:color w:val="auto"/>
        </w:rPr>
        <w:t>significant cybersecurity incidents or other significant disruptions in operations.</w:t>
      </w:r>
    </w:p>
    <w:p>
      <w:pPr>
        <w:spacing w:after="0" w:line="196" w:lineRule="exact"/>
        <w:rPr>
          <w:sz w:val="20"/>
          <w:szCs w:val="20"/>
          <w:color w:val="auto"/>
        </w:rPr>
      </w:pPr>
    </w:p>
    <w:p>
      <w:pPr>
        <w:jc w:val="both"/>
        <w:ind w:left="328" w:right="280"/>
        <w:spacing w:after="0" w:line="255" w:lineRule="auto"/>
        <w:rPr>
          <w:sz w:val="20"/>
          <w:szCs w:val="20"/>
          <w:color w:val="auto"/>
        </w:rPr>
      </w:pPr>
      <w:r>
        <w:rPr>
          <w:rFonts w:ascii="Times New Roman" w:cs="Times New Roman" w:eastAsia="Times New Roman" w:hAnsi="Times New Roman"/>
          <w:sz w:val="21"/>
          <w:szCs w:val="21"/>
          <w:color w:val="auto"/>
        </w:rPr>
        <w:t>You should remember that if transactions in Wabtec securities become the subject of scrutiny, they will be viewed after the fact. As a result, before engaging in any transaction, you should carefully consider how regulators and others might view a transaction with the benefit of hindsight. When in doubt, information should be presumed to be material.</w:t>
      </w:r>
    </w:p>
    <w:p>
      <w:pPr>
        <w:spacing w:after="0" w:line="1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b w:val="1"/>
          <w:bCs w:val="1"/>
          <w:color w:val="auto"/>
        </w:rPr>
        <w:t>B. Additional Securities Law Responsibilities of Officers and Directors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328"/>
        <w:spacing w:after="0" w:line="230" w:lineRule="auto"/>
        <w:rPr>
          <w:sz w:val="20"/>
          <w:szCs w:val="20"/>
          <w:color w:val="auto"/>
        </w:rPr>
      </w:pPr>
      <w:r>
        <w:rPr>
          <w:rFonts w:ascii="Times New Roman" w:cs="Times New Roman" w:eastAsia="Times New Roman" w:hAnsi="Times New Roman"/>
          <w:sz w:val="22"/>
          <w:szCs w:val="22"/>
          <w:color w:val="auto"/>
        </w:rPr>
        <w:t>Certain aspects of the U.S. federal securities laws are particularly applicable to corporate officers and directors. Compliance with these laws is essential to avoid criminal penalties or civil injunctions against Wabtec, with similar penalties, possibly including jail sentences, for officers or directors of Wabtec. Substantial monetary damages may also be imposed on Wabtec, its officers or directors, especially in connection with shareholder derivative suits.</w:t>
      </w:r>
    </w:p>
    <w:p>
      <w:pPr>
        <w:spacing w:after="0" w:line="187" w:lineRule="exact"/>
        <w:rPr>
          <w:sz w:val="20"/>
          <w:szCs w:val="20"/>
          <w:color w:val="auto"/>
        </w:rPr>
      </w:pPr>
    </w:p>
    <w:p>
      <w:pPr>
        <w:ind w:left="328" w:right="20" w:hanging="328"/>
        <w:spacing w:after="0" w:line="249" w:lineRule="auto"/>
        <w:tabs>
          <w:tab w:leader="none" w:pos="32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Restrictions on Transactions in Wabtec Securities</w:t>
      </w:r>
      <w:r>
        <w:rPr>
          <w:rFonts w:ascii="Times New Roman" w:cs="Times New Roman" w:eastAsia="Times New Roman" w:hAnsi="Times New Roman"/>
          <w:sz w:val="22"/>
          <w:szCs w:val="22"/>
          <w:color w:val="auto"/>
        </w:rPr>
        <w:t>. To help prevent inadvertent violations of insider trading laws and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avoid even the appearance of an improper transaction, Wabtec has adopted the following policies:</w:t>
      </w:r>
    </w:p>
    <w:p>
      <w:pPr>
        <w:spacing w:after="0" w:line="181" w:lineRule="exact"/>
        <w:rPr>
          <w:rFonts w:ascii="Times New Roman" w:cs="Times New Roman" w:eastAsia="Times New Roman" w:hAnsi="Times New Roman"/>
          <w:sz w:val="22"/>
          <w:szCs w:val="22"/>
          <w:color w:val="auto"/>
        </w:rPr>
      </w:pPr>
    </w:p>
    <w:p>
      <w:pPr>
        <w:ind w:left="648" w:hanging="324"/>
        <w:spacing w:after="0" w:line="225" w:lineRule="auto"/>
        <w:tabs>
          <w:tab w:leader="none" w:pos="636" w:val="left"/>
        </w:tabs>
        <w:numPr>
          <w:ilvl w:val="1"/>
          <w:numId w:val="57"/>
        </w:numPr>
        <w:rPr>
          <w:rFonts w:ascii="Arial" w:cs="Arial" w:eastAsia="Arial" w:hAnsi="Arial"/>
          <w:sz w:val="20"/>
          <w:szCs w:val="20"/>
          <w:color w:val="auto"/>
        </w:rPr>
      </w:pPr>
      <w:r>
        <w:rPr>
          <w:rFonts w:ascii="Times New Roman" w:cs="Times New Roman" w:eastAsia="Times New Roman" w:hAnsi="Times New Roman"/>
          <w:sz w:val="22"/>
          <w:szCs w:val="22"/>
          <w:color w:val="auto"/>
        </w:rPr>
        <w:t>No officer or director may transact in Wabtec securities beginning on the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calendar day of the third month of each reporting calendar quarter and continuing until at least one full trading day has elapsed after Wabtec’s financial results for that quarter have been made public. Any day on which the New York Stock Exchange is open counts as a business day for this purpose. Generally, officers and directors would be able to transact beginning after the first business day after financial results are made public. Wabtec may on occasion issue interim earnings guidance or other potentially material information by means of a press release or filing with the SEC. Officers and directors should anticipate that trading will be blacked out while Wabtec is in the process of assembling the information to be released and that officers and directors would be able to transact beginning after the second business day after such information is made public. Additional event-specific blackouts may be instituted from time to time at the discretion of the Legal Department.</w:t>
      </w:r>
    </w:p>
    <w:p>
      <w:pPr>
        <w:spacing w:after="0" w:line="193" w:lineRule="exact"/>
        <w:rPr>
          <w:rFonts w:ascii="Arial" w:cs="Arial" w:eastAsia="Arial" w:hAnsi="Arial"/>
          <w:sz w:val="20"/>
          <w:szCs w:val="20"/>
          <w:color w:val="auto"/>
        </w:rPr>
      </w:pPr>
    </w:p>
    <w:p>
      <w:pPr>
        <w:ind w:left="648" w:right="660" w:hanging="324"/>
        <w:spacing w:after="0" w:line="238" w:lineRule="auto"/>
        <w:tabs>
          <w:tab w:leader="none" w:pos="636" w:val="left"/>
        </w:tabs>
        <w:numPr>
          <w:ilvl w:val="1"/>
          <w:numId w:val="57"/>
        </w:numPr>
        <w:rPr>
          <w:rFonts w:ascii="Arial" w:cs="Arial" w:eastAsia="Arial" w:hAnsi="Arial"/>
          <w:sz w:val="20"/>
          <w:szCs w:val="20"/>
          <w:color w:val="auto"/>
        </w:rPr>
      </w:pPr>
      <w:r>
        <w:rPr>
          <w:rFonts w:ascii="Times New Roman" w:cs="Times New Roman" w:eastAsia="Times New Roman" w:hAnsi="Times New Roman"/>
          <w:sz w:val="22"/>
          <w:szCs w:val="22"/>
          <w:color w:val="auto"/>
        </w:rPr>
        <w:t>All officers and directors must contact the Wabtec Legal Department and obtain clearance before initiating any transaction involving any Wabtec securities, including the exercise or sale of stock options, restricted stock or performance shares under Wabtec’s stock based compensation plans.</w:t>
      </w:r>
    </w:p>
    <w:p>
      <w:pPr>
        <w:spacing w:after="0" w:line="188" w:lineRule="exact"/>
        <w:rPr>
          <w:rFonts w:ascii="Arial" w:cs="Arial" w:eastAsia="Arial" w:hAnsi="Arial"/>
          <w:sz w:val="20"/>
          <w:szCs w:val="20"/>
          <w:color w:val="auto"/>
        </w:rPr>
      </w:pPr>
    </w:p>
    <w:p>
      <w:pPr>
        <w:ind w:left="328" w:right="100" w:hanging="328"/>
        <w:spacing w:after="0" w:line="228" w:lineRule="auto"/>
        <w:tabs>
          <w:tab w:leader="none" w:pos="32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Prohibited Transactions</w:t>
      </w:r>
      <w:r>
        <w:rPr>
          <w:rFonts w:ascii="Times New Roman" w:cs="Times New Roman" w:eastAsia="Times New Roman" w:hAnsi="Times New Roman"/>
          <w:sz w:val="22"/>
          <w:szCs w:val="22"/>
          <w:color w:val="auto"/>
        </w:rPr>
        <w:t>. Wabtec considers it improper and inappropriate for any of its officers or directors to engage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short-term or speculative transactions in Wabtec securities or in other transactions in Wabtec securities that may lead to inadvertent violations of the insider trading laws or do not align an officer’s or a director’s interest in the long-term growth of Wabtec with those of our stockholders. Therefore, it is Wabtec’s policy that officers and directors may not engage in any of the following transactions:</w:t>
      </w:r>
    </w:p>
    <w:p>
      <w:pPr>
        <w:spacing w:after="0" w:line="202" w:lineRule="exact"/>
        <w:rPr>
          <w:rFonts w:ascii="Times New Roman" w:cs="Times New Roman" w:eastAsia="Times New Roman" w:hAnsi="Times New Roman"/>
          <w:sz w:val="22"/>
          <w:szCs w:val="22"/>
          <w:color w:val="auto"/>
        </w:rPr>
      </w:pPr>
    </w:p>
    <w:p>
      <w:pPr>
        <w:ind w:left="968" w:right="780" w:hanging="320"/>
        <w:spacing w:after="0" w:line="249" w:lineRule="auto"/>
        <w:tabs>
          <w:tab w:leader="none" w:pos="956"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Short Sales</w:t>
      </w:r>
      <w:r>
        <w:rPr>
          <w:rFonts w:ascii="Times New Roman" w:cs="Times New Roman" w:eastAsia="Times New Roman" w:hAnsi="Times New Roman"/>
          <w:sz w:val="22"/>
          <w:szCs w:val="22"/>
          <w:color w:val="auto"/>
        </w:rPr>
        <w:t>. Short sales of Wabtec securities (i.e., sales of securities that are not then owned) evidence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expectation on the part of the seller that the securities</w:t>
      </w:r>
    </w:p>
    <w:p>
      <w:pPr>
        <w:sectPr>
          <w:pgSz w:w="11900" w:h="16838" w:orient="portrait"/>
          <w:cols w:equalWidth="0" w:num="1">
            <w:col w:w="10888"/>
          </w:cols>
          <w:pgMar w:left="652" w:top="1408" w:right="359" w:bottom="1440" w:gutter="0" w:footer="0" w:header="0"/>
        </w:sectPr>
      </w:pPr>
    </w:p>
    <w:bookmarkStart w:id="106" w:name="page107"/>
    <w:bookmarkEnd w:id="106"/>
    <w:p>
      <w:pPr>
        <w:ind w:left="968" w:right="160"/>
        <w:spacing w:after="0" w:line="224" w:lineRule="auto"/>
        <w:rPr>
          <w:sz w:val="20"/>
          <w:szCs w:val="20"/>
          <w:color w:val="auto"/>
        </w:rPr>
      </w:pPr>
      <w:r>
        <w:rPr>
          <w:rFonts w:ascii="Times New Roman" w:cs="Times New Roman" w:eastAsia="Times New Roman" w:hAnsi="Times New Roman"/>
          <w:sz w:val="22"/>
          <w:szCs w:val="22"/>
          <w:color w:val="auto"/>
        </w:rPr>
        <w:t>will decline in value, and therefore signal to the market that the seller has no confidence in the company or its short-term prospects. In addition, short sales may reduce the seller’s incentive to improve Wabtec’s performance. For these and other reasons, short sales of Wabtec securities are prohibited. In addition, Section 16 of the Securities Exchange Act of 1934 prohibits executive officers and directors from engaging in short sales. (See Section C.1 below.)</w:t>
      </w:r>
    </w:p>
    <w:p>
      <w:pPr>
        <w:spacing w:after="0" w:line="4" w:lineRule="exact"/>
        <w:rPr>
          <w:sz w:val="20"/>
          <w:szCs w:val="20"/>
          <w:color w:val="auto"/>
        </w:rPr>
      </w:pPr>
    </w:p>
    <w:p>
      <w:pPr>
        <w:ind w:left="968" w:right="240" w:hanging="320"/>
        <w:spacing w:after="0" w:line="217" w:lineRule="auto"/>
        <w:tabs>
          <w:tab w:leader="none" w:pos="968"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Publicly Traded Options</w:t>
      </w:r>
      <w:r>
        <w:rPr>
          <w:rFonts w:ascii="Times New Roman" w:cs="Times New Roman" w:eastAsia="Times New Roman" w:hAnsi="Times New Roman"/>
          <w:sz w:val="22"/>
          <w:szCs w:val="22"/>
          <w:color w:val="auto"/>
        </w:rPr>
        <w:t>. A transaction in options is, in effect, a bet on the short-term movement of Wabtec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and therefore creates the appearance that the officer or director is trading based on inside information. Transactions in options also may focus the officer’s or director’s attention on short-term performance at the expense of long- term objectives. Accordingly, transactions in puts, calls or other derivative securities, on an exchange or in any other organized market, are prohibited.</w:t>
      </w:r>
    </w:p>
    <w:p>
      <w:pPr>
        <w:spacing w:after="0" w:line="3" w:lineRule="exact"/>
        <w:rPr>
          <w:rFonts w:ascii="Times New Roman" w:cs="Times New Roman" w:eastAsia="Times New Roman" w:hAnsi="Times New Roman"/>
          <w:sz w:val="22"/>
          <w:szCs w:val="22"/>
          <w:color w:val="auto"/>
        </w:rPr>
      </w:pPr>
    </w:p>
    <w:p>
      <w:pPr>
        <w:ind w:left="968" w:right="20" w:hanging="320"/>
        <w:spacing w:after="0" w:line="220" w:lineRule="auto"/>
        <w:tabs>
          <w:tab w:leader="none" w:pos="960" w:val="left"/>
        </w:tabs>
        <w:numPr>
          <w:ilvl w:val="1"/>
          <w:numId w:val="58"/>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Standing Orders</w:t>
      </w:r>
      <w:r>
        <w:rPr>
          <w:rFonts w:ascii="Times New Roman" w:cs="Times New Roman" w:eastAsia="Times New Roman" w:hAnsi="Times New Roman"/>
          <w:sz w:val="22"/>
          <w:szCs w:val="22"/>
          <w:color w:val="auto"/>
        </w:rPr>
        <w:t>. Standing orders placed by an officer or director with a broker are prohibited, other than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context of a Rule 10b5-1 trading plan (see below). A standing order placed by an officer or director with a broker to sell or purchase Wabtec securities at a specified price leaves the officer or director with no control over the timing of the transaction. A standing order transaction executed by the broker when the officer or director is aware of material, non-public information could result in unlawful insider trading.</w:t>
      </w:r>
    </w:p>
    <w:p>
      <w:pPr>
        <w:spacing w:after="0" w:line="1" w:lineRule="exact"/>
        <w:rPr>
          <w:rFonts w:ascii="Arial" w:cs="Arial" w:eastAsia="Arial" w:hAnsi="Arial"/>
          <w:sz w:val="20"/>
          <w:szCs w:val="20"/>
          <w:color w:val="auto"/>
        </w:rPr>
      </w:pPr>
    </w:p>
    <w:p>
      <w:pPr>
        <w:ind w:left="968" w:right="240" w:hanging="320"/>
        <w:spacing w:after="0" w:line="230" w:lineRule="auto"/>
        <w:tabs>
          <w:tab w:leader="none" w:pos="968"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Hedging Transactions</w:t>
      </w:r>
      <w:r>
        <w:rPr>
          <w:rFonts w:ascii="Times New Roman" w:cs="Times New Roman" w:eastAsia="Times New Roman" w:hAnsi="Times New Roman"/>
          <w:sz w:val="21"/>
          <w:szCs w:val="21"/>
          <w:color w:val="auto"/>
        </w:rPr>
        <w:t>. Certain forms of hedging or monetization transactions, such as zero-cost collars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forward sale contracts, allow an officer or director to lock in much of the value of his or her shares of Wabtec stock, often in exchange for all or part of the potential for upside appreciation in the shares. These transactions allow the officer or director to continue to own the covered shares, but without the full risks and rewards of ownership. When that occurs, the officer or director may no longer have the same objectives as our other shareholders. Therefore, officers and directors of Wabtec are prohibited from engaging in any such transactions.</w:t>
      </w:r>
    </w:p>
    <w:p>
      <w:pPr>
        <w:spacing w:after="0" w:line="1" w:lineRule="exact"/>
        <w:rPr>
          <w:rFonts w:ascii="Times New Roman" w:cs="Times New Roman" w:eastAsia="Times New Roman" w:hAnsi="Times New Roman"/>
          <w:sz w:val="21"/>
          <w:szCs w:val="21"/>
          <w:color w:val="auto"/>
        </w:rPr>
      </w:pPr>
    </w:p>
    <w:p>
      <w:pPr>
        <w:ind w:left="968" w:right="40" w:hanging="320"/>
        <w:spacing w:after="0" w:line="228" w:lineRule="auto"/>
        <w:tabs>
          <w:tab w:leader="none" w:pos="956"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Margin Accounts and Pledges</w:t>
      </w:r>
      <w:r>
        <w:rPr>
          <w:rFonts w:ascii="Times New Roman" w:cs="Times New Roman" w:eastAsia="Times New Roman" w:hAnsi="Times New Roman"/>
          <w:sz w:val="21"/>
          <w:szCs w:val="21"/>
          <w:color w:val="auto"/>
        </w:rPr>
        <w:t>. Because a margin sale or foreclosure sale may occur at a time when an officer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aware of material, non-public information or otherwise is not permitted to transact in Wabtec securities, officers and directors are prohibited from pledging Wabtec securities as collateral for a loan. This includes holding Wabtec securities in a margin account if those securities serve as collateral for a loan. It does not prohibit holding Wabtec securities in a margin account if they are not eligible to be used as collateral in such account.</w:t>
      </w:r>
    </w:p>
    <w:p>
      <w:pPr>
        <w:ind w:left="968" w:right="240" w:hanging="320"/>
        <w:spacing w:after="0" w:line="225" w:lineRule="auto"/>
        <w:tabs>
          <w:tab w:leader="none" w:pos="959"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Rule 10b5-1 Plans</w:t>
      </w:r>
      <w:r>
        <w:rPr>
          <w:rFonts w:ascii="Times New Roman" w:cs="Times New Roman" w:eastAsia="Times New Roman" w:hAnsi="Times New Roman"/>
          <w:sz w:val="22"/>
          <w:szCs w:val="22"/>
          <w:color w:val="auto"/>
        </w:rPr>
        <w:t>. A Rule 10b5-1 trading plan with respect to Wabtec securities may not be entered into,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or terminated during a blackout period and may only be entered into, amended or terminated when the individual does not possess material, non-public information. Entry into any such plans, along with any amendments or terminations of such plans, by any Company Personnel requires prior approval of the Wabtec Legal Department.</w:t>
      </w:r>
    </w:p>
    <w:p>
      <w:pPr>
        <w:spacing w:after="0" w:line="190" w:lineRule="exact"/>
        <w:rPr>
          <w:rFonts w:ascii="Times New Roman" w:cs="Times New Roman" w:eastAsia="Times New Roman" w:hAnsi="Times New Roman"/>
          <w:sz w:val="22"/>
          <w:szCs w:val="22"/>
          <w:color w:val="auto"/>
        </w:rPr>
      </w:pPr>
    </w:p>
    <w:p>
      <w:pPr>
        <w:ind w:left="328" w:hanging="328"/>
        <w:spacing w:after="0" w:line="228" w:lineRule="auto"/>
        <w:tabs>
          <w:tab w:leader="none" w:pos="32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Permitted Transactions</w:t>
      </w:r>
      <w:r>
        <w:rPr>
          <w:rFonts w:ascii="Times New Roman" w:cs="Times New Roman" w:eastAsia="Times New Roman" w:hAnsi="Times New Roman"/>
          <w:sz w:val="22"/>
          <w:szCs w:val="22"/>
          <w:color w:val="auto"/>
        </w:rPr>
        <w:t>. During a blackout period, directors and officers are permitted to: conduct exercises for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and hold) or cashless exercises if no Wabtec securities are sold in the market to fund the exercise; continue regular and matching contributions in benefit plans; make bona fide gifts of Wabtec securities so long as the director or officer has no reason to believe that the recipient intends to sell the securities during the blackout period; and conduct transactions in previously approved and adopted Rule 10b5-1 trading plans. Before entering into any of these transactions, an officer or</w:t>
      </w:r>
    </w:p>
    <w:p>
      <w:pPr>
        <w:sectPr>
          <w:pgSz w:w="11900" w:h="16838" w:orient="portrait"/>
          <w:cols w:equalWidth="0" w:num="1">
            <w:col w:w="10888"/>
          </w:cols>
          <w:pgMar w:left="652" w:top="1408" w:right="359" w:bottom="1440" w:gutter="0" w:footer="0" w:header="0"/>
        </w:sectPr>
      </w:pPr>
    </w:p>
    <w:bookmarkStart w:id="107" w:name="page108"/>
    <w:bookmarkEnd w:id="107"/>
    <w:p>
      <w:pPr>
        <w:ind w:left="8" w:right="240" w:firstLine="324"/>
        <w:spacing w:after="0" w:line="448" w:lineRule="auto"/>
        <w:rPr>
          <w:sz w:val="20"/>
          <w:szCs w:val="20"/>
          <w:color w:val="auto"/>
        </w:rPr>
      </w:pPr>
      <w:r>
        <w:rPr>
          <w:rFonts w:ascii="Times New Roman" w:cs="Times New Roman" w:eastAsia="Times New Roman" w:hAnsi="Times New Roman"/>
          <w:sz w:val="22"/>
          <w:szCs w:val="22"/>
          <w:color w:val="auto"/>
        </w:rPr>
        <w:t xml:space="preserve">director is required to contact the Wabtec Legal Department for pre-approval of any of the aforementioned transactions. </w:t>
      </w:r>
      <w:r>
        <w:rPr>
          <w:rFonts w:ascii="Times New Roman" w:cs="Times New Roman" w:eastAsia="Times New Roman" w:hAnsi="Times New Roman"/>
          <w:sz w:val="22"/>
          <w:szCs w:val="22"/>
          <w:b w:val="1"/>
          <w:bCs w:val="1"/>
          <w:color w:val="auto"/>
        </w:rPr>
        <w:t>C. Additional Securities Law Responsibilities of Executive Officers and Directors</w:t>
      </w:r>
    </w:p>
    <w:p>
      <w:pPr>
        <w:spacing w:after="0" w:line="1" w:lineRule="exact"/>
        <w:rPr>
          <w:sz w:val="20"/>
          <w:szCs w:val="20"/>
          <w:color w:val="auto"/>
        </w:rPr>
      </w:pPr>
    </w:p>
    <w:p>
      <w:pPr>
        <w:ind w:left="328" w:right="380"/>
        <w:spacing w:after="0" w:line="245" w:lineRule="auto"/>
        <w:rPr>
          <w:sz w:val="20"/>
          <w:szCs w:val="20"/>
          <w:color w:val="auto"/>
        </w:rPr>
      </w:pPr>
      <w:r>
        <w:rPr>
          <w:rFonts w:ascii="Times New Roman" w:cs="Times New Roman" w:eastAsia="Times New Roman" w:hAnsi="Times New Roman"/>
          <w:sz w:val="22"/>
          <w:szCs w:val="22"/>
          <w:color w:val="auto"/>
        </w:rPr>
        <w:t>In addition to the responsibilities set forth above that are applicable to all officers and directors, executive officers and directors are subject to the following:</w:t>
      </w:r>
    </w:p>
    <w:p>
      <w:pPr>
        <w:spacing w:after="0" w:line="182" w:lineRule="exact"/>
        <w:rPr>
          <w:sz w:val="20"/>
          <w:szCs w:val="20"/>
          <w:color w:val="auto"/>
        </w:rPr>
      </w:pPr>
    </w:p>
    <w:p>
      <w:pPr>
        <w:ind w:left="328" w:right="60" w:hanging="328"/>
        <w:spacing w:after="0" w:line="223" w:lineRule="auto"/>
        <w:tabs>
          <w:tab w:leader="none" w:pos="317"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Short Swing Profits and Section 16 Stock Ownership Reports</w:t>
      </w:r>
      <w:r>
        <w:rPr>
          <w:rFonts w:ascii="Times New Roman" w:cs="Times New Roman" w:eastAsia="Times New Roman" w:hAnsi="Times New Roman"/>
          <w:sz w:val="22"/>
          <w:szCs w:val="22"/>
          <w:color w:val="auto"/>
        </w:rPr>
        <w:t>. Officers and directors are subject to Section 16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Exchange Act of 1934. Section 16 seeks to prevent misuse of inside information by imposing profit recovery for so-called “short swing” transactions involving any purchase and sale (or sale and purchase) of any Wabtec securities within any period of less than six months. Section 16 is applied very broadly (i.e., by matching the lowest purchase prices against the highest sales prices) to extract the maximum amount of profit recovery from any matchable purchases and sales within a six month period. To aid in monitoring purchases and sales that may be subject to profit recovery, Section 16 requires each officer and director to file with the SEC statements showing any change in stock ownership (Forms 3, 4 and 5). Because of the complexity in this area, the Human Resources Department, in conjunction with the Legal Department, will prepare and file Section 16 reports for officers and directors. Officers and directors should immediately report any changes in their beneficial ownership of Wabtec securities (including by sale, purchase, gift, contribution to a trust or other entities, among others) to the Human Resources and the Legal Departments so that any required reports can be timely prepared and filed. To avoid becoming subject to Section 16 liability, an officer or director should consult with the Wabtec Legal Department prior to any transaction in Wabtec securities by an officer or director, family members or trusts or other entities associated with an officer or director.</w:t>
      </w:r>
    </w:p>
    <w:p>
      <w:pPr>
        <w:spacing w:after="0" w:line="205" w:lineRule="exact"/>
        <w:rPr>
          <w:rFonts w:ascii="Arial" w:cs="Arial" w:eastAsia="Arial" w:hAnsi="Arial"/>
          <w:sz w:val="20"/>
          <w:szCs w:val="20"/>
          <w:color w:val="auto"/>
        </w:rPr>
      </w:pPr>
    </w:p>
    <w:p>
      <w:pPr>
        <w:ind w:left="328" w:hanging="328"/>
        <w:spacing w:after="0" w:line="235" w:lineRule="auto"/>
        <w:tabs>
          <w:tab w:leader="none" w:pos="32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Preparation and Filing of Form 144 Prior to the Sale of Wabtec Stock</w:t>
      </w:r>
      <w:r>
        <w:rPr>
          <w:rFonts w:ascii="Times New Roman" w:cs="Times New Roman" w:eastAsia="Times New Roman" w:hAnsi="Times New Roman"/>
          <w:sz w:val="21"/>
          <w:szCs w:val="21"/>
          <w:color w:val="auto"/>
        </w:rPr>
        <w:t>. Officers and directors are required to file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Form 144 with the SEC each time they intend to sell Wabtec securities in the market. Typically, the Form 144 will be prepared and filed with the SEC by the seller’s broker. Accordingly, officers and directors should ensure that their brokers have been provided with their EDGAR filing codes. The Form 144 is a notice of a proposed sale of securities. In order to prepare the Form 144, information required to be provided includes the name and address of the broker through which the shares will be sold, the number of shares intended to be sold, the source and date of acquisition of the shares being sold and, if applicable, the date and nature of payment for the shares to be sold. The Form 144 must be electronically filed with the SEC on or prior to the date that an order is placed with a broker to sell shares. Therefore, anytime an officer or director intends to sell Wabtec shares (including a sale which occurs pursuant to a cashless stock award exercise), they should provide the Wabtec Human Resources and Legal Departments with a minimum of two business days prior notice.</w:t>
      </w:r>
    </w:p>
    <w:p>
      <w:pPr>
        <w:spacing w:after="0" w:line="187" w:lineRule="exact"/>
        <w:rPr>
          <w:sz w:val="20"/>
          <w:szCs w:val="20"/>
          <w:color w:val="auto"/>
        </w:rPr>
      </w:pPr>
    </w:p>
    <w:p>
      <w:pPr>
        <w:ind w:left="308" w:hanging="308"/>
        <w:spacing w:after="0"/>
        <w:tabs>
          <w:tab w:leader="none" w:pos="308"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 a Concern</w:t>
      </w:r>
    </w:p>
    <w:p>
      <w:pPr>
        <w:spacing w:after="0" w:line="223" w:lineRule="exact"/>
        <w:rPr>
          <w:rFonts w:ascii="Times New Roman" w:cs="Times New Roman" w:eastAsia="Times New Roman" w:hAnsi="Times New Roman"/>
          <w:sz w:val="22"/>
          <w:szCs w:val="22"/>
          <w:b w:val="1"/>
          <w:bCs w:val="1"/>
          <w:color w:val="auto"/>
        </w:rPr>
      </w:pPr>
    </w:p>
    <w:p>
      <w:pPr>
        <w:ind w:left="328" w:right="4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you have any questions or suspect any violations to this Policy, please contact your manager, HR, legal, Compliance, or the CCO or designee immediately. Concerns may also be reported confidentially and anonymously by any party, through our Speak Up Wabtec! program.</w:t>
      </w:r>
    </w:p>
    <w:p>
      <w:pPr>
        <w:sectPr>
          <w:pgSz w:w="11900" w:h="16838" w:orient="portrait"/>
          <w:cols w:equalWidth="0" w:num="1">
            <w:col w:w="10908"/>
          </w:cols>
          <w:pgMar w:left="652" w:top="1408" w:right="339" w:bottom="1440" w:gutter="0" w:footer="0" w:header="0"/>
        </w:sectPr>
      </w:pPr>
    </w:p>
    <w:bookmarkStart w:id="108" w:name="page109"/>
    <w:bookmarkEnd w:id="108"/>
    <w:p>
      <w:pPr>
        <w:ind w:left="328"/>
        <w:spacing w:after="0"/>
        <w:rPr>
          <w:sz w:val="20"/>
          <w:szCs w:val="20"/>
          <w:color w:val="auto"/>
        </w:rPr>
      </w:pPr>
      <w:r>
        <w:rPr>
          <w:rFonts w:ascii="Times New Roman" w:cs="Times New Roman" w:eastAsia="Times New Roman" w:hAnsi="Times New Roman"/>
          <w:sz w:val="22"/>
          <w:szCs w:val="22"/>
          <w:color w:val="auto"/>
        </w:rPr>
        <w:t>You may also report concerns confidentially and anonymously through the Speak up, Wabtec! Hotline:</w:t>
      </w:r>
    </w:p>
    <w:p>
      <w:pPr>
        <w:spacing w:after="0" w:line="220" w:lineRule="exact"/>
        <w:rPr>
          <w:sz w:val="20"/>
          <w:szCs w:val="20"/>
          <w:color w:val="auto"/>
        </w:rPr>
      </w:pPr>
    </w:p>
    <w:p>
      <w:pPr>
        <w:ind w:left="628" w:hanging="304"/>
        <w:spacing w:after="0"/>
        <w:tabs>
          <w:tab w:leader="none" w:pos="628"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2"/>
          <w:szCs w:val="22"/>
          <w:color w:val="auto"/>
        </w:rPr>
        <w:t xml:space="preserve">Online (can be submitted anonymously): </w:t>
      </w:r>
      <w:r>
        <w:rPr>
          <w:rFonts w:ascii="Times New Roman" w:cs="Times New Roman" w:eastAsia="Times New Roman" w:hAnsi="Times New Roman"/>
          <w:sz w:val="22"/>
          <w:szCs w:val="22"/>
          <w:color w:val="467886"/>
        </w:rPr>
        <w:t>https://speakupwabtec.com</w:t>
      </w:r>
    </w:p>
    <w:p>
      <w:pPr>
        <w:spacing w:after="0" w:line="233" w:lineRule="exact"/>
        <w:rPr>
          <w:rFonts w:ascii="Arial" w:cs="Arial" w:eastAsia="Arial" w:hAnsi="Arial"/>
          <w:sz w:val="20"/>
          <w:szCs w:val="20"/>
          <w:color w:val="auto"/>
        </w:rPr>
      </w:pPr>
    </w:p>
    <w:p>
      <w:pPr>
        <w:ind w:left="628" w:hanging="304"/>
        <w:spacing w:after="0"/>
        <w:tabs>
          <w:tab w:leader="none" w:pos="628"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2"/>
          <w:szCs w:val="22"/>
          <w:color w:val="auto"/>
        </w:rPr>
        <w:t xml:space="preserve">Email Reporting: </w:t>
      </w:r>
      <w:r>
        <w:rPr>
          <w:rFonts w:ascii="Times New Roman" w:cs="Times New Roman" w:eastAsia="Times New Roman" w:hAnsi="Times New Roman"/>
          <w:sz w:val="22"/>
          <w:szCs w:val="22"/>
          <w:color w:val="467886"/>
        </w:rPr>
        <w:t>speakupwabtec@wabtec.com</w:t>
      </w:r>
      <w:r>
        <w:rPr>
          <w:rFonts w:ascii="Arial" w:cs="Arial" w:eastAsia="Arial" w:hAnsi="Arial"/>
          <w:sz w:val="19"/>
          <w:szCs w:val="19"/>
          <w:color w:val="auto"/>
        </w:rPr>
        <w:t>.</w:t>
      </w:r>
    </w:p>
    <w:p>
      <w:pPr>
        <w:spacing w:after="0" w:line="219" w:lineRule="exact"/>
        <w:rPr>
          <w:rFonts w:ascii="Arial" w:cs="Arial" w:eastAsia="Arial" w:hAnsi="Arial"/>
          <w:sz w:val="20"/>
          <w:szCs w:val="20"/>
          <w:color w:val="auto"/>
        </w:rPr>
      </w:pPr>
    </w:p>
    <w:p>
      <w:pPr>
        <w:ind w:left="648" w:right="80" w:hanging="324"/>
        <w:spacing w:after="0" w:line="258" w:lineRule="auto"/>
        <w:tabs>
          <w:tab w:leader="none" w:pos="623"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2"/>
          <w:szCs w:val="22"/>
          <w:color w:val="auto"/>
        </w:rPr>
        <w:t xml:space="preserve">Toll-free Helpline: Wabtec maintains toll-free global hotline phone numbers for various countries, which are posted at </w:t>
      </w:r>
      <w:r>
        <w:rPr>
          <w:rFonts w:ascii="Times New Roman" w:cs="Times New Roman" w:eastAsia="Times New Roman" w:hAnsi="Times New Roman"/>
          <w:sz w:val="22"/>
          <w:szCs w:val="22"/>
          <w:color w:val="467886"/>
        </w:rPr>
        <w:t>http://speakupwabtec.com</w:t>
      </w:r>
    </w:p>
    <w:p>
      <w:pPr>
        <w:spacing w:after="0" w:line="172" w:lineRule="exact"/>
        <w:rPr>
          <w:sz w:val="20"/>
          <w:szCs w:val="20"/>
          <w:color w:val="auto"/>
        </w:rPr>
      </w:pPr>
    </w:p>
    <w:p>
      <w:pPr>
        <w:ind w:left="328" w:right="260"/>
        <w:spacing w:after="0" w:line="238" w:lineRule="auto"/>
        <w:rPr>
          <w:sz w:val="20"/>
          <w:szCs w:val="20"/>
          <w:color w:val="auto"/>
        </w:rPr>
      </w:pPr>
      <w:r>
        <w:rPr>
          <w:rFonts w:ascii="Times New Roman" w:cs="Times New Roman" w:eastAsia="Times New Roman" w:hAnsi="Times New Roman"/>
          <w:sz w:val="22"/>
          <w:szCs w:val="22"/>
          <w:color w:val="auto"/>
        </w:rPr>
        <w:t>You may remain anonymous when you call from a country in which anonymous reporting is allowed. Regardless of the reporting channel, all reported concerns are taken seriously and thoroughly investigated. Wabtec does not tolerate any retaliation by any individual against any party who raises a concern or reports wrongdoing.</w:t>
      </w:r>
    </w:p>
    <w:p>
      <w:pPr>
        <w:spacing w:after="0" w:line="188" w:lineRule="exact"/>
        <w:rPr>
          <w:sz w:val="20"/>
          <w:szCs w:val="20"/>
          <w:color w:val="auto"/>
        </w:rPr>
      </w:pPr>
    </w:p>
    <w:p>
      <w:pPr>
        <w:ind w:left="328" w:hanging="328"/>
        <w:spacing w:after="0"/>
        <w:tabs>
          <w:tab w:leader="none" w:pos="32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w:t>
      </w:r>
    </w:p>
    <w:p>
      <w:pPr>
        <w:spacing w:after="0" w:line="4" w:lineRule="exact"/>
        <w:rPr>
          <w:rFonts w:ascii="Times New Roman" w:cs="Times New Roman" w:eastAsia="Times New Roman" w:hAnsi="Times New Roman"/>
          <w:sz w:val="22"/>
          <w:szCs w:val="22"/>
          <w:color w:val="auto"/>
        </w:rPr>
      </w:pPr>
    </w:p>
    <w:p>
      <w:pPr>
        <w:ind w:left="328" w:right="180"/>
        <w:spacing w:after="0" w:line="22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“Associated Parties” means any individual or company (whether incorporated or unincorporated) who is associated with the Company and performs services on behalf of the Company. This term is broad in scope and embraces all such individuals or companies providing services for the Company, including (but not limited to) customs brokers, freight forwarders, tax advisors, agents and consultants.</w:t>
      </w:r>
    </w:p>
    <w:p>
      <w:pPr>
        <w:spacing w:after="0" w:line="192" w:lineRule="exact"/>
        <w:rPr>
          <w:rFonts w:ascii="Times New Roman" w:cs="Times New Roman" w:eastAsia="Times New Roman" w:hAnsi="Times New Roman"/>
          <w:sz w:val="22"/>
          <w:szCs w:val="22"/>
          <w:color w:val="auto"/>
        </w:rPr>
      </w:pPr>
    </w:p>
    <w:p>
      <w:pPr>
        <w:ind w:left="328"/>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“Chief Compliance Officer” (CCO): The individual that the Company has appointed to administer this Policy.</w:t>
      </w:r>
    </w:p>
    <w:p>
      <w:pPr>
        <w:spacing w:after="0" w:line="215" w:lineRule="exact"/>
        <w:rPr>
          <w:rFonts w:ascii="Times New Roman" w:cs="Times New Roman" w:eastAsia="Times New Roman" w:hAnsi="Times New Roman"/>
          <w:sz w:val="22"/>
          <w:szCs w:val="22"/>
          <w:color w:val="auto"/>
        </w:rPr>
      </w:pPr>
    </w:p>
    <w:p>
      <w:pPr>
        <w:ind w:left="328" w:hanging="328"/>
        <w:spacing w:after="0" w:line="235" w:lineRule="auto"/>
        <w:tabs>
          <w:tab w:leader="none" w:pos="32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Roles and Responsibilities</w:t>
      </w:r>
      <w:r>
        <w:rPr>
          <w:rFonts w:ascii="Times New Roman" w:cs="Times New Roman" w:eastAsia="Times New Roman" w:hAnsi="Times New Roman"/>
          <w:sz w:val="22"/>
          <w:szCs w:val="22"/>
          <w:color w:val="auto"/>
        </w:rPr>
        <w:t>. The Company has developed a comprehensive program for implementing this Policy through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appropriate guidance, training, certifications, oversight monitoring and investigations. The CCO or designee is responsible for administering this Policy.</w:t>
      </w:r>
    </w:p>
    <w:p>
      <w:pPr>
        <w:spacing w:after="0" w:line="205" w:lineRule="exact"/>
        <w:rPr>
          <w:rFonts w:ascii="Times New Roman" w:cs="Times New Roman" w:eastAsia="Times New Roman" w:hAnsi="Times New Roman"/>
          <w:sz w:val="22"/>
          <w:szCs w:val="22"/>
          <w:color w:val="auto"/>
        </w:rPr>
      </w:pPr>
    </w:p>
    <w:p>
      <w:pPr>
        <w:ind w:left="328" w:right="58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CCO or designee - (i) giving advice on the interpretation and application of this Policy, (ii) supporting training and education, (iii) monitoring compliance with the Policy, (iv) providing periodic reporting to the Company’s Board of Directors, (v) responding to inquiries and reported concerns, and (vi) directing the due diligence process.</w:t>
      </w:r>
    </w:p>
    <w:p>
      <w:pPr>
        <w:sectPr>
          <w:pgSz w:w="11900" w:h="16838" w:orient="portrait"/>
          <w:cols w:equalWidth="0" w:num="1">
            <w:col w:w="10908"/>
          </w:cols>
          <w:pgMar w:left="652" w:top="1408"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21.0</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SUBSIDIARIES AND AFFILIATES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540" w:type="dxa"/>
            <w:vAlign w:val="bottom"/>
          </w:tcPr>
          <w:p>
            <w:pPr>
              <w:spacing w:after="0"/>
              <w:rPr>
                <w:sz w:val="16"/>
                <w:szCs w:val="16"/>
                <w:color w:val="auto"/>
              </w:rPr>
            </w:pPr>
          </w:p>
        </w:tc>
        <w:tc>
          <w:tcPr>
            <w:tcW w:w="26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Ownership Interest</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ABU GmbH</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Germany</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Annax GmbH</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Germany</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Annax Scheiz AG</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Switzerland</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2"/>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Annax (Suzhou) Rail Systems Co., Ltd.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China</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Ateliers Hubert Gerken S.A.</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Belgium</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Austbreck Pty, Ltd.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Australia</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Bearward Engineering Limited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UK</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Becorit GmbH</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Germany</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Bloom China LLC</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Delaware</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Bloom Combustion India Pvt Ltd.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India</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Bloom Combustions (Shanghai) Co. Ltd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China</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Bloom Engineering (Europa) GmbH</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Germany</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Bloom Engineering Company, Inc.</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Pennsylvania</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Bloom Engineering Holdings, Inc.</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Delaware</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Brecknell Willis &amp; Co., Ltd.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UK</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Cambridge Forming and Cutting Ltd.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Canada</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Changzhou CRRC Wabtec Diesel Engine Company Limited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China</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CoFren S.A.S.</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France</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CoFren S.r.l.</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Italy</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Continental Railworks Technology I Inc.</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Canada</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Datong Faiveley Railway Vehicle Equipment Co. Ltd.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China</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Deptol Limited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Ireland</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Dotnetix Proprietary Limited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South Africa</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Dotnetix SA Proprietary Limited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South Africa</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Durox Company</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Ohio</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East Erie Commercial Railroad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Pennsylvania</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E-Carbon Asia Sdn. Bhd.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Malaysia</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E-Carbon S.A.</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Belgium</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Evand Pty Ltd.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Australia</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Evident Canada, Inc.</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Canada</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Evident Inspection Technologies Australia Pty. Ltd.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Australia</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Evident Inspection Technologies (Beijing) Co., Ltd.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China</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Evident Inspection Technologies Czech s.r.o.</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Czech Republic</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Evident Inspection Technologies Germany GmbH</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Germany</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Evident Inspection Technologies Japan Corporation</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Japan</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Evident Inspection Technologies Korea Co. Ltd.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Korea</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Evident Inspection Technologies Private Limited Company</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India</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Evident Inspection Technologies Singapore Pte. Ltd.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Singapore</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Asia Pacific Ltd.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Hong Kong</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Australia Ltd.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Australia</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Birkenhead Ltd.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UK</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Canada Inc.</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Canada</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Czech a.s.</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Czech Republic</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2"/>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Chile SpA.</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Chile</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Far East Ltd.</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Hong Kong</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Holding Gmbh &amp; co. KG</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Germany</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Iberica SA</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Spain</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2"/>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Italia Spa</w:t>
            </w:r>
          </w:p>
        </w:tc>
        <w:tc>
          <w:tcPr>
            <w:tcW w:w="35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Italy</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ectPr>
          <w:pgSz w:w="11900" w:h="16838" w:orient="portrait"/>
          <w:cols w:equalWidth="0" w:num="1">
            <w:col w:w="11180"/>
          </w:cols>
          <w:pgMar w:left="380" w:top="603" w:right="339" w:bottom="1440" w:gutter="0" w:footer="0" w:header="0"/>
        </w:sectPr>
      </w:pPr>
    </w:p>
    <w:bookmarkStart w:id="110" w:name="page111"/>
    <w:bookmarkEnd w:id="110"/>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Korea co., Ltd.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Korea</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Metro Technology Shanghai Co. Ltd.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China</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Metro Technology Taiwan Ltd.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Taiwan</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Metro Technology Thailand Co. Ltd.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Thailand</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North America Inc.</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New York</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Plezn s.r.o.</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Czech Republic</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Polska zoo</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Poland</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Rail Technologies India Private Limited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India</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Railway Trading Co. Ltd.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China</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SAS</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France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Schwab AG</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Switzerland</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Schweiz AG</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Switzerland</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Service Maroc</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Morocco</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Systems Technology (Beijing) Co. Ltd.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China</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Tamworth Ltd.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UK</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Tours</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France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Faiveley Transport USA Inc</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South Carolina</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Fanox Electronic, S.L.</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Spain</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Fanox Middle East Industrial Company</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Saudi Arabia</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F.I.P. Pty Ltd.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Australia</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FIP Brakes South Africa (Proprietary) Limited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South Africa</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Fandstan Electric Group, Ltd.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UK</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Fandstan Electric, Ltd.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UK</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F.T.M.T. Singapore Pte Ltd.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Singapore</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Frauscher MENA – FZE</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UAE</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Frauscher Polska Sp. z.o.o.</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Poland</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Frauscher Sensor Technology Australia Pty. Ltd.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Australia</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Frauscher Sensor Technology Group GmbH</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Austria</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Frauscher Sensortechnik GmbH</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Austria</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Frauscher Sensor Technology Brasil Ltda</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Brazil</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Frauscher Sensor Technology Co. Ltd.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China</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Frauscher Sensortechnik Deutschland GmbH</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Germany</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Frauscher Sensor Technology France S.A.R.L.</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France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Frauscher Sensor Technology India Private Limited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India</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Frauscher Sensor Technology USA Inc.</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New Jersey</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Frauscher UK Ltd.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UK</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2"/>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Gerken Group S.A.</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Belgium</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Gerken SAS</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France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GE Transportation, A Wabtec Company</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Delaware</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Graham White Manufacturing Company</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Virginia</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Huatie Wabtec Faiveley (Qingdao) Transport Equipment Co., Ltd.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China</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Hunan Times Wabtec Transportation Equipment Co., Ltd.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China</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Industrea Chile S.A.</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Chile</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Industrea Hong Kong YL Limited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Hong Kong</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Industrea Mining Equipment Pty Ltd.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Australia</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Industrea Mining Technology Pty Ltd.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Australia</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Industrea Pty Ltd.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Australia</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Industrea Wadam Pty Ltd.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Australia</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Jiaxiang HK Smart Technology Co. Ltd.</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Hong Kong</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2"/>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JSC Lokomotiv Kurastyru Zauyty</w:t>
            </w:r>
          </w:p>
        </w:tc>
        <w:tc>
          <w:tcPr>
            <w:tcW w:w="39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Kazakhstan</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ectPr>
          <w:pgSz w:w="11900" w:h="16838" w:orient="portrait"/>
          <w:cols w:equalWidth="0" w:num="1">
            <w:col w:w="11120"/>
          </w:cols>
          <w:pgMar w:left="380" w:top="1440" w:right="399" w:bottom="1440" w:gutter="0" w:footer="0" w:header="0"/>
        </w:sectPr>
      </w:pPr>
    </w:p>
    <w:bookmarkStart w:id="111" w:name="page112"/>
    <w:bookmarkEnd w:id="111"/>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Karbometline s.r.o.</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Slovakia</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Keelex 351 Limited</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UK</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Komatsu Wabtec Mining Systems, LLC</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Delaware</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Kompozitum s.r.o.</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Slovakia</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L&amp;M Industrial Radiators Sudamérica SpA.</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Chile</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L &amp; M Radiator, Inc.</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Minnesota</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L &amp; M Radiator PTY LTD.</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Australia</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L&amp;M Radiator, Ltd.</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Canada</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LH Group Services Limited</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UK</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Limited Liability Company Transportation Ukraine</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Ukraine</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Locomotive Manufacturing and Services, S.A. de C.V.</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Mexico</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Longwood Elastomers, S.A.</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Spain</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Longwood Engineered Products, Inc.</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Delaware</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Longwood International, Inc.</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Delaware</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LWI Elastomers International, S.L.</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Spain</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LWI International B.V.</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Netherlands</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Medagao (Suzhou) Rubber-Metal Components Co., Ltd.</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China</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Merz Industrietechnik GmbH</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Austria</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Metalocaucho, S.L.</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Spain</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Mors Smitt France S.A.S.</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France</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Mors Smitt Technologies, Inc.</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Connecticut</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MorsSmitt Asia, Ltd.</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Hong Kong</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MotivePower, LLC</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Delaware</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MSH S.A.S.</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France</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MTC India Rubber Metal Components Private Limited</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India</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Napier Turbochargers Australia Pty Ltd.</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Australia</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Nordco Enterprises, Inc.</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Delaware</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Nordco Holding Company</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Delaware</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Nordco Holdings Inc.</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Delaware</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Nordco Inc.</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Delaware</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Nordco Rail Services, LLC</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Connecticut</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Nowe GmbH</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Germany</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o.o.o. Faiveley Transport</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Russia</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Pantrac GmbH</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Germany</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Poli S.r.l.</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Italy</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Powerhouse Engine Solutions Holding GmbH</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Switzerland</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Pride Bodies Ltd.</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Canada</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PT Transportation Solutions Indonesia</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Indonesia</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2"/>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Qingdao Faiveley Sri Rail Brake Co. Ltd.</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China</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Railcar Management, LLC</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Georgia</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Railroad Controls Construction, Inc.</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Texas</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Railroad Friction Products Corporation</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Delaware</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RCLP Acquisition LLC</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Texas</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Relay Monitoring Systems Pty Ltd.</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Australia</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Relco Land Holdings of Cedar Rapids, LLC</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Iowa</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Relco Locomotives, Inc</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Illinois</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RFPC Holding Corp.</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Delaware</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Ricon Corp.</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California</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SCT Technology LLC</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Delaware</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2"/>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Shenyang Wabtec Brake Technology Company Ltd.</w:t>
            </w:r>
          </w:p>
        </w:tc>
        <w:tc>
          <w:tcPr>
            <w:tcW w:w="40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China</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bl>
    <w:p>
      <w:pPr>
        <w:sectPr>
          <w:pgSz w:w="11900" w:h="16838" w:orient="portrait"/>
          <w:cols w:equalWidth="0" w:num="1">
            <w:col w:w="11120"/>
          </w:cols>
          <w:pgMar w:left="380" w:top="1440" w:right="399" w:bottom="1440" w:gutter="0" w:footer="0" w:header="0"/>
        </w:sectPr>
      </w:pPr>
    </w:p>
    <w:bookmarkStart w:id="112" w:name="page113"/>
    <w:bookmarkEnd w:id="112"/>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Shijiazhuang Jiaxiang Precision Machinery Co. Ltd.</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ShipXpress Technologies (Private) Limited</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Sri Lanka</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Shuttlewagon, Inc.</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Delaware</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Speer Carbon Company, LLC</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Pennsylvania</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Standard Car Truck-Asia, Inc.</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Stemmann Polska SP Zoo</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Poland</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Stemmann-Technik GmbH</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Germany</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Stemmann-Technik Hong Kong Company Limited</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Tehnika Pty Ltd</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Australia</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Eastern Europe S.r.l.</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Moldova</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Global Egypt L.L.C.</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Egypt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Global LLC</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Delaware</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Holdings UK Limited</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UK</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IP Holdings, LLC</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Delaware</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Kazakhstan Limited Liability Partnership</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Kazakhstan</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Poland sp. z o.o</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Poland</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Rus Limited Liability Company</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Russia</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Services and Technologies Nigeria Ltd.</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Nigeria</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Systems and Services Cameroon Ltd.</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Cameroon</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Systems Pakistan (Private) Limited</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Pakistan</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Transportation Systems Services Operations Inc.</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Nevada</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TransTech of South Carolina, Inc.</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Delaware</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TRSP Systems and Services Kenya Ltd.</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Kenya</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TRSP Systems (Malaysia) SDN. BHD</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Malaysia</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Turbonetics Holdings, Inc.</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Delaware</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Vapor Ricon Europe Ltd.</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UK</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Australia Pty. Limited</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Australia</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Austria Holdings GmbH</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Austria</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(Beijing) Investment Co. Ltd.</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Brasil Fabricacao e Manutencao de Equipamentos Ltda.</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Brazil</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Components LLC</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Delaware</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Corporation</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New York</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Canada, Inc.</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Canada</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China Friction Holding Limited</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China Rail Products &amp; Services Holding Limited</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Control Systems Pty Ltd.</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Australia</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de Mexico, S. de R.L. de C.V.</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Mexico</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Economic and Trading (Shanghai) Co., Ltd.</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China</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Egypt for Commercial Agencies</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Egypt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Faiveley Nordic AB</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Sweden</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2"/>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Faiveley Rayli Sistemleri Ltd. Sti</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Turkey</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Faiveley Turkey Ulaşım Sistemleri ve Hizmetleri AŞ</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Turkey</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France S.A.S.</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France</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FRG GmbH</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Germany</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FRG Holdings GmbH &amp; Co. KG</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Germany</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Finance LLC</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Delaware</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Germany GmbH</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Germany</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Greenville Real Estate LLC</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South Carolina</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Guinea Simandou - SARLU</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Guinea</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2"/>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Wabtec Hauts-de-France</w:t>
            </w:r>
          </w:p>
        </w:tc>
        <w:tc>
          <w:tcPr>
            <w:tcW w:w="39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France</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ectPr>
          <w:pgSz w:w="11900" w:h="16838" w:orient="portrait"/>
          <w:cols w:equalWidth="0" w:num="1">
            <w:col w:w="11120"/>
          </w:cols>
          <w:pgMar w:left="380" w:top="1440" w:right="399" w:bottom="1440" w:gutter="0" w:footer="0" w:header="0"/>
        </w:sectPr>
      </w:pPr>
    </w:p>
    <w:bookmarkStart w:id="113" w:name="page114"/>
    <w:bookmarkEnd w:id="113"/>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Holding LLC</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Delaware</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2"/>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Holdings South Africa (Pty) Ltd.</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South Africa</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India Industrial Private Limited</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India</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Inspection Technologies, Inc.</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Delaware</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International, Inc.</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Delaware</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Kazakhstan Ltd.</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Kazakhstan</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Locomotive Private Limited</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India</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Manufacturing, LLC</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Delaware</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Manufacturing Mexico S. de R.L. de C.V.</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Mexico</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Manufacturing Solutions, LLC</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Delaware</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Mozambique Limitada</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Mozambique</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MZT AD Skopje</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Macedonia</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Poland Sp. z.o.o.</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Poland</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Netherlands B.V.</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Netherlands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Netherlands Holdings B.V.</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Netherlands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Railway Electronics Corporation</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Canada</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Railway Electronics Holdings, LLC</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Delaware</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Railway Electronics Manufacturing, Inc.</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Delaware</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Railway Electronics, Inc.</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Delaware</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Receivables LLC</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Delaware</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(Shijiazhuang) Mining Equipment Co., Ltd.</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China</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South Africa Proprietary Limited</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South Africa</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South Africa Technologies (Pty) Ltd.</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South Africa</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Sweden AB</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Sweden</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Sweden Holdings AB</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Sweden</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Texmaco Rail Private Limited</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India</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(Tianjin) Electrification Technology Co., Ltd.</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China</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Canada Inc.</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Canada</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Egypt Services LLC</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Egypt</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Engines Holding B.V.</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Netherlands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Global Holdings, LLC</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Delaware</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GmbH</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Germany</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Group Holdings Pty Ltd.</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Australia</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Netherlands B.V.</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Netherlands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Netherlands Holdings B.V.</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Netherlands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Systems Co. Ltd.</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China</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Systems Limited</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England</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Transportation Systems, LLC</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Delaware</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UK Holdings Limited</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England</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UK Investments Limited</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England</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UK Limited</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UK</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2"/>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UK Pension Trustee Limited</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UK</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 US Rail, Inc.</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Delaware</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Wabtec-UWC Ltd.</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Cyprus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Westinghouse Air Brake Technologies Corporation Political Action Committee</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Delaware</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Westinghouse Railway Holdings (Canada) Inc.</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Canada</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Xorail, Inc.</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Florida</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Zhongshan MorsSmitt Relay Ltd.</w:t>
            </w:r>
          </w:p>
        </w:tc>
        <w:tc>
          <w:tcPr>
            <w:tcW w:w="34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China</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ectPr>
          <w:pgSz w:w="11900" w:h="16838" w:orient="portrait"/>
          <w:cols w:equalWidth="0" w:num="1">
            <w:col w:w="11120"/>
          </w:cols>
          <w:pgMar w:left="380" w:top="1440" w:right="39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22.0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Guarantor Subsidiaries of Westinghouse Air Brake Technologies</w:t>
      </w:r>
    </w:p>
    <w:p>
      <w:pPr>
        <w:spacing w:after="0" w:line="12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The obligations under the Company's US Notes, the 2025 Credit Agreement and the 2025 Term Credit Agreement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w:t>
      </w:r>
    </w:p>
    <w:p>
      <w:pPr>
        <w:spacing w:after="0" w:line="248" w:lineRule="exact"/>
        <w:rPr>
          <w:sz w:val="20"/>
          <w:szCs w:val="20"/>
          <w:color w:val="auto"/>
        </w:rPr>
      </w:pPr>
    </w:p>
    <w:p>
      <w:pPr>
        <w:ind w:right="5060"/>
        <w:spacing w:after="0" w:line="247"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The US Notes, the 2025 Credit Agreement, and the 2025 Term Credit Agreement </w:t>
      </w:r>
      <w:r>
        <w:rPr>
          <w:rFonts w:ascii="Times New Roman" w:cs="Times New Roman" w:eastAsia="Times New Roman" w:hAnsi="Times New Roman"/>
          <w:sz w:val="18"/>
          <w:szCs w:val="18"/>
          <w:i w:val="1"/>
          <w:iCs w:val="1"/>
          <w:u w:val="single" w:color="auto"/>
          <w:color w:val="auto"/>
        </w:rPr>
        <w:t>Issuer</w:t>
      </w:r>
      <w:r>
        <w:rPr>
          <w:rFonts w:ascii="Times New Roman" w:cs="Times New Roman" w:eastAsia="Times New Roman" w:hAnsi="Times New Roman"/>
          <w:sz w:val="18"/>
          <w:szCs w:val="18"/>
          <w:color w:val="auto"/>
        </w:rPr>
        <w:t>: Westinghouse Air Brake Technologies Corporation</w:t>
      </w:r>
    </w:p>
    <w:p>
      <w:pPr>
        <w:spacing w:after="0" w:line="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i w:val="1"/>
          <w:iCs w:val="1"/>
          <w:u w:val="single" w:color="auto"/>
          <w:color w:val="auto"/>
        </w:rPr>
        <w:t>Guarantors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GE Transportation, a Wabtec Company</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RFPC Holding Corp.</w:t>
      </w:r>
    </w:p>
    <w:p>
      <w:pPr>
        <w:ind w:left="1300"/>
        <w:spacing w:after="0" w:line="219" w:lineRule="auto"/>
        <w:rPr>
          <w:sz w:val="20"/>
          <w:szCs w:val="20"/>
          <w:color w:val="auto"/>
        </w:rPr>
      </w:pPr>
      <w:r>
        <w:rPr>
          <w:rFonts w:ascii="Times New Roman" w:cs="Times New Roman" w:eastAsia="Times New Roman" w:hAnsi="Times New Roman"/>
          <w:sz w:val="18"/>
          <w:szCs w:val="18"/>
          <w:color w:val="auto"/>
        </w:rPr>
        <w:t>Transportation IP Holdings, LLC</w:t>
      </w:r>
    </w:p>
    <w:p>
      <w:pPr>
        <w:ind w:left="1300"/>
        <w:spacing w:after="0" w:line="234" w:lineRule="auto"/>
        <w:rPr>
          <w:sz w:val="20"/>
          <w:szCs w:val="20"/>
          <w:color w:val="auto"/>
        </w:rPr>
      </w:pPr>
      <w:r>
        <w:rPr>
          <w:rFonts w:ascii="Times New Roman" w:cs="Times New Roman" w:eastAsia="Times New Roman" w:hAnsi="Times New Roman"/>
          <w:sz w:val="18"/>
          <w:szCs w:val="18"/>
          <w:color w:val="auto"/>
        </w:rPr>
        <w:t>Transportation Systems Services Operations Inc.</w:t>
      </w:r>
    </w:p>
    <w:p>
      <w:pPr>
        <w:ind w:left="1300"/>
        <w:spacing w:after="0" w:line="235" w:lineRule="auto"/>
        <w:rPr>
          <w:sz w:val="20"/>
          <w:szCs w:val="20"/>
          <w:color w:val="auto"/>
        </w:rPr>
      </w:pPr>
      <w:r>
        <w:rPr>
          <w:rFonts w:ascii="Times New Roman" w:cs="Times New Roman" w:eastAsia="Times New Roman" w:hAnsi="Times New Roman"/>
          <w:sz w:val="18"/>
          <w:szCs w:val="18"/>
          <w:color w:val="auto"/>
        </w:rPr>
        <w:t>Wabtec Components, LLC</w:t>
      </w:r>
    </w:p>
    <w:p>
      <w:pPr>
        <w:ind w:left="1300"/>
        <w:spacing w:after="0" w:line="235" w:lineRule="auto"/>
        <w:rPr>
          <w:sz w:val="20"/>
          <w:szCs w:val="20"/>
          <w:color w:val="auto"/>
        </w:rPr>
      </w:pPr>
      <w:r>
        <w:rPr>
          <w:rFonts w:ascii="Times New Roman" w:cs="Times New Roman" w:eastAsia="Times New Roman" w:hAnsi="Times New Roman"/>
          <w:sz w:val="18"/>
          <w:szCs w:val="18"/>
          <w:color w:val="auto"/>
        </w:rPr>
        <w:t>Wabtec Holding, LLC</w:t>
      </w:r>
    </w:p>
    <w:p>
      <w:pPr>
        <w:ind w:left="1300"/>
        <w:spacing w:after="0" w:line="235" w:lineRule="auto"/>
        <w:rPr>
          <w:sz w:val="20"/>
          <w:szCs w:val="20"/>
          <w:color w:val="auto"/>
        </w:rPr>
      </w:pPr>
      <w:r>
        <w:rPr>
          <w:rFonts w:ascii="Times New Roman" w:cs="Times New Roman" w:eastAsia="Times New Roman" w:hAnsi="Times New Roman"/>
          <w:sz w:val="18"/>
          <w:szCs w:val="18"/>
          <w:color w:val="auto"/>
        </w:rPr>
        <w:t>Wabtec Railway Electronics Holdings, LLC</w:t>
      </w:r>
    </w:p>
    <w:p>
      <w:pPr>
        <w:ind w:left="1300"/>
        <w:spacing w:after="0" w:line="235" w:lineRule="auto"/>
        <w:rPr>
          <w:sz w:val="20"/>
          <w:szCs w:val="20"/>
          <w:color w:val="auto"/>
        </w:rPr>
      </w:pPr>
      <w:r>
        <w:rPr>
          <w:rFonts w:ascii="Times New Roman" w:cs="Times New Roman" w:eastAsia="Times New Roman" w:hAnsi="Times New Roman"/>
          <w:sz w:val="18"/>
          <w:szCs w:val="18"/>
          <w:color w:val="auto"/>
        </w:rPr>
        <w:t>Wabtec Transportation Systems, LLC</w:t>
      </w:r>
    </w:p>
    <w:p>
      <w:pPr>
        <w:ind w:left="1300"/>
        <w:spacing w:after="0"/>
        <w:rPr>
          <w:sz w:val="20"/>
          <w:szCs w:val="20"/>
          <w:color w:val="auto"/>
        </w:rPr>
      </w:pPr>
      <w:r>
        <w:rPr>
          <w:rFonts w:ascii="Times New Roman" w:cs="Times New Roman" w:eastAsia="Times New Roman" w:hAnsi="Times New Roman"/>
          <w:sz w:val="18"/>
          <w:szCs w:val="18"/>
          <w:color w:val="auto"/>
        </w:rPr>
        <w:t>Wabtec US Rail, Inc.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Euro Notes</w:t>
      </w:r>
    </w:p>
    <w:p>
      <w:pPr>
        <w:spacing w:after="0" w:line="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i w:val="1"/>
          <w:iCs w:val="1"/>
          <w:u w:val="single" w:color="auto"/>
          <w:color w:val="auto"/>
        </w:rPr>
        <w:t>Issuer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Wabtec Transportation Netherlands B.V.</w:t>
      </w:r>
    </w:p>
    <w:p>
      <w:pPr>
        <w:spacing w:after="0"/>
        <w:tabs>
          <w:tab w:leader="none" w:pos="980" w:val="left"/>
        </w:tabs>
        <w:rPr>
          <w:sz w:val="20"/>
          <w:szCs w:val="20"/>
          <w:color w:val="auto"/>
        </w:rPr>
      </w:pPr>
      <w:r>
        <w:rPr>
          <w:rFonts w:ascii="Times New Roman" w:cs="Times New Roman" w:eastAsia="Times New Roman" w:hAnsi="Times New Roman"/>
          <w:sz w:val="18"/>
          <w:szCs w:val="18"/>
          <w:i w:val="1"/>
          <w:iCs w:val="1"/>
          <w:u w:val="single" w:color="auto"/>
          <w:color w:val="auto"/>
        </w:rPr>
        <w:t>Guarantor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Westinghouse Air Brake Technologies Corporation</w:t>
      </w:r>
    </w:p>
    <w:p>
      <w:pPr>
        <w:sectPr>
          <w:pgSz w:w="11900" w:h="16838" w:orient="portrait"/>
          <w:cols w:equalWidth="0" w:num="1">
            <w:col w:w="11240"/>
          </w:cols>
          <w:pgMar w:left="320" w:top="1413"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71" w:lineRule="exact"/>
        <w:rPr>
          <w:sz w:val="20"/>
          <w:szCs w:val="20"/>
          <w:color w:val="auto"/>
        </w:rPr>
      </w:pPr>
    </w:p>
    <w:p>
      <w:pPr>
        <w:ind w:left="660" w:right="40" w:hanging="328"/>
        <w:spacing w:after="0" w:line="246" w:lineRule="auto"/>
        <w:tabs>
          <w:tab w:leader="none" w:pos="65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333-53753) pertaining to the 1998 Employee Stock Purchase Plan of Westinghouse Air Brake Technologies Corporation,</w:t>
      </w:r>
    </w:p>
    <w:p>
      <w:pPr>
        <w:ind w:left="660" w:right="360" w:hanging="328"/>
        <w:spacing w:after="0" w:line="234" w:lineRule="auto"/>
        <w:tabs>
          <w:tab w:leader="none" w:pos="65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333-39159) pertaining to the 1997 Executive Retirement Plan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60" w:right="200" w:hanging="328"/>
        <w:spacing w:after="0" w:line="234" w:lineRule="auto"/>
        <w:tabs>
          <w:tab w:leader="none" w:pos="65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333-02979) pertaining to the 1995 Non-Employee Directors’ Fee and Stock Option Plan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60" w:right="460" w:hanging="328"/>
        <w:spacing w:after="0" w:line="226" w:lineRule="auto"/>
        <w:tabs>
          <w:tab w:leader="none" w:pos="65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333-115014) pertaining to the 2004 Bonus Plan Agreements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60" w:right="700" w:hanging="328"/>
        <w:spacing w:after="0" w:line="234" w:lineRule="auto"/>
        <w:tabs>
          <w:tab w:leader="none" w:pos="65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333-137985) pertaining to the 2000 Stock Incentive Plan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60" w:right="780" w:hanging="328"/>
        <w:spacing w:after="0" w:line="234" w:lineRule="auto"/>
        <w:tabs>
          <w:tab w:leader="none" w:pos="65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333-41840) pertaining to the 2000 Stock Inventive Plan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60" w:right="200" w:hanging="328"/>
        <w:spacing w:after="0" w:line="234" w:lineRule="auto"/>
        <w:tabs>
          <w:tab w:leader="none" w:pos="65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333-40468) pertaining to the 1995 Non-Employee Directors’ Fee and Stock Option Plan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40" w:hanging="308"/>
        <w:spacing w:after="0" w:line="234"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333-35744) pertaining to the 2000 Savings Plan of Westinghouse Air Brake Technologies Corporation,</w:t>
      </w:r>
    </w:p>
    <w:p>
      <w:pPr>
        <w:ind w:left="660" w:right="900" w:hanging="328"/>
        <w:spacing w:after="0" w:line="234" w:lineRule="auto"/>
        <w:tabs>
          <w:tab w:leader="none" w:pos="65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333-89086) pertaining to the 2002 Employee Stock Ownership Plan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60" w:right="720" w:hanging="328"/>
        <w:spacing w:after="0" w:line="234" w:lineRule="auto"/>
        <w:tabs>
          <w:tab w:leader="none" w:pos="64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333-179857) pertaining to the 2011 Stock Incentive Plan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60" w:right="180" w:hanging="328"/>
        <w:spacing w:after="0" w:line="226" w:lineRule="auto"/>
        <w:tabs>
          <w:tab w:leader="none" w:pos="64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219662) pertaining to the 1995 Non-Employee Directors' Fee and Stock Option Plan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40" w:hanging="308"/>
        <w:spacing w:after="0" w:line="234"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219663) pertaining to the 2011 Stock Incentive Plan of Westinghouse Air Brake Technologies Corporation,</w:t>
      </w:r>
    </w:p>
    <w:p>
      <w:pPr>
        <w:ind w:left="640" w:hanging="308"/>
        <w:spacing w:after="0" w:line="234"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333-231125) of Westinghouse Air Brake Technologies Corporation,</w:t>
      </w:r>
    </w:p>
    <w:p>
      <w:pPr>
        <w:ind w:left="640" w:hanging="308"/>
        <w:spacing w:after="0" w:line="234"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333-240166) of Westinghouse Air Brake Technologies Corporation,</w:t>
      </w:r>
    </w:p>
    <w:p>
      <w:pPr>
        <w:ind w:left="640" w:hanging="308"/>
        <w:spacing w:after="0" w:line="234"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333-248731) of Westinghouse Air Brake Technologies Corporation,</w:t>
      </w:r>
    </w:p>
    <w:p>
      <w:pPr>
        <w:ind w:left="660" w:right="440" w:hanging="328"/>
        <w:spacing w:after="0" w:line="234" w:lineRule="auto"/>
        <w:tabs>
          <w:tab w:leader="none" w:pos="64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333-253256) pertaining to the 2011 Stock Incentive Plan (as Amended and Restated effective May 15, 2020) (as amended by Amendment Number One dated January 14, 2021) of Westinghouse Air Brake Technologies Corporation,</w:t>
      </w:r>
    </w:p>
    <w:p>
      <w:pPr>
        <w:spacing w:after="0" w:line="1" w:lineRule="exact"/>
        <w:rPr>
          <w:rFonts w:ascii="Times New Roman" w:cs="Times New Roman" w:eastAsia="Times New Roman" w:hAnsi="Times New Roman"/>
          <w:sz w:val="18"/>
          <w:szCs w:val="18"/>
          <w:color w:val="auto"/>
        </w:rPr>
      </w:pPr>
    </w:p>
    <w:p>
      <w:pPr>
        <w:ind w:left="640" w:hanging="308"/>
        <w:spacing w:after="0" w:line="234"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333-256296) of Westinghouse Air Brake Technologies Corporation, and</w:t>
      </w:r>
    </w:p>
    <w:p>
      <w:pPr>
        <w:ind w:left="640" w:hanging="308"/>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333-275386) of Westinghouse Air Brake Technologies Corporation;</w:t>
      </w:r>
    </w:p>
    <w:p>
      <w:pPr>
        <w:spacing w:after="0" w:line="1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of our reports dated February 13, 2026, with respect to the consolidated financial statements and schedule of Westinghouse Air Brake Technologies Corporation and the effectiveness of internal control over financial reporting of Westinghouse Air Brake Technologies Corporation included in this Annual Report (Form 10-K) of Westinghouse Air Brake Technologies Corporation for the year ended December 31, 2025.</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2026</w:t>
      </w:r>
    </w:p>
    <w:p>
      <w:pPr>
        <w:sectPr>
          <w:pgSz w:w="11900" w:h="16838" w:orient="portrait"/>
          <w:cols w:equalWidth="0" w:num="1">
            <w:col w:w="11240"/>
          </w:cols>
          <w:pgMar w:left="320" w:top="88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Rafael Santana, certify that:</w:t>
      </w:r>
    </w:p>
    <w:p>
      <w:pPr>
        <w:spacing w:after="0" w:line="117" w:lineRule="exact"/>
        <w:rPr>
          <w:sz w:val="20"/>
          <w:szCs w:val="20"/>
          <w:color w:val="auto"/>
        </w:rPr>
      </w:pPr>
    </w:p>
    <w:p>
      <w:pPr>
        <w:ind w:left="680" w:hanging="186"/>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Westinghouse Air Brake Technologies Corporation.</w:t>
      </w:r>
    </w:p>
    <w:p>
      <w:pPr>
        <w:spacing w:after="0" w:line="117"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67" w:lineRule="exact"/>
        <w:rPr>
          <w:rFonts w:ascii="Times New Roman" w:cs="Times New Roman" w:eastAsia="Times New Roman" w:hAnsi="Times New Roman"/>
          <w:sz w:val="18"/>
          <w:szCs w:val="18"/>
          <w:color w:val="auto"/>
        </w:rPr>
      </w:pPr>
    </w:p>
    <w:p>
      <w:pPr>
        <w:ind w:right="420" w:firstLine="494"/>
        <w:spacing w:after="0" w:line="282" w:lineRule="auto"/>
        <w:tabs>
          <w:tab w:leader="none" w:pos="66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53"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7" w:lineRule="exact"/>
        <w:rPr>
          <w:rFonts w:ascii="Times New Roman" w:cs="Times New Roman" w:eastAsia="Times New Roman" w:hAnsi="Times New Roman"/>
          <w:sz w:val="18"/>
          <w:szCs w:val="18"/>
          <w:color w:val="auto"/>
        </w:rPr>
      </w:pPr>
    </w:p>
    <w:p>
      <w:pPr>
        <w:ind w:right="140" w:firstLine="656"/>
        <w:spacing w:after="0" w:line="266" w:lineRule="auto"/>
        <w:tabs>
          <w:tab w:leader="none" w:pos="89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7" w:lineRule="exact"/>
        <w:rPr>
          <w:rFonts w:ascii="Times New Roman" w:cs="Times New Roman" w:eastAsia="Times New Roman" w:hAnsi="Times New Roman"/>
          <w:sz w:val="18"/>
          <w:szCs w:val="18"/>
          <w:color w:val="auto"/>
        </w:rPr>
      </w:pPr>
    </w:p>
    <w:p>
      <w:pPr>
        <w:ind w:right="40" w:firstLine="656"/>
        <w:spacing w:after="0" w:line="266" w:lineRule="auto"/>
        <w:tabs>
          <w:tab w:leader="none" w:pos="90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120" w:firstLine="656"/>
        <w:spacing w:after="0" w:line="282" w:lineRule="auto"/>
        <w:tabs>
          <w:tab w:leader="none" w:pos="89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53" w:lineRule="exact"/>
        <w:rPr>
          <w:rFonts w:ascii="Times New Roman" w:cs="Times New Roman" w:eastAsia="Times New Roman" w:hAnsi="Times New Roman"/>
          <w:sz w:val="18"/>
          <w:szCs w:val="18"/>
          <w:color w:val="auto"/>
        </w:rPr>
      </w:pPr>
    </w:p>
    <w:p>
      <w:pPr>
        <w:ind w:right="80" w:firstLine="656"/>
        <w:spacing w:after="0" w:line="312" w:lineRule="auto"/>
        <w:tabs>
          <w:tab w:leader="none" w:pos="903"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7"/>
          <w:szCs w:val="17"/>
          <w:color w:val="auto"/>
        </w:rPr>
      </w:pPr>
    </w:p>
    <w:p>
      <w:pPr>
        <w:ind w:right="180" w:firstLine="494"/>
        <w:spacing w:after="0" w:line="282" w:lineRule="auto"/>
        <w:tabs>
          <w:tab w:leader="none" w:pos="66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0" w:firstLine="656"/>
        <w:spacing w:after="0" w:line="282" w:lineRule="auto"/>
        <w:tabs>
          <w:tab w:leader="none" w:pos="89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540" w:firstLine="656"/>
        <w:spacing w:after="0" w:line="282" w:lineRule="auto"/>
        <w:tabs>
          <w:tab w:leader="none" w:pos="90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February 13, 2026</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tcBorders>
              <w:bottom w:val="single" w:sz="8" w:color="auto"/>
            </w:tcBorders>
          </w:tcPr>
          <w:p>
            <w:pPr>
              <w:jc w:val="center"/>
              <w:ind w:left="10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AFAEL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ANTANA</w:t>
            </w:r>
          </w:p>
        </w:tc>
      </w:tr>
      <w:tr>
        <w:trPr>
          <w:trHeight w:val="22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120" w:type="dxa"/>
            <w:vAlign w:val="bottom"/>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Rafael Santana</w:t>
            </w:r>
          </w:p>
        </w:tc>
      </w:tr>
      <w:tr>
        <w:trPr>
          <w:trHeight w:val="23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120" w:type="dxa"/>
            <w:vAlign w:val="bottom"/>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Olin, certify that:</w:t>
      </w:r>
    </w:p>
    <w:p>
      <w:pPr>
        <w:spacing w:after="0" w:line="117" w:lineRule="exact"/>
        <w:rPr>
          <w:sz w:val="20"/>
          <w:szCs w:val="20"/>
          <w:color w:val="auto"/>
        </w:rPr>
      </w:pPr>
    </w:p>
    <w:p>
      <w:pPr>
        <w:ind w:left="680" w:hanging="186"/>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Westinghouse Air Brake Technologies Corporation.</w:t>
      </w:r>
    </w:p>
    <w:p>
      <w:pPr>
        <w:spacing w:after="0" w:line="117"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67" w:lineRule="exact"/>
        <w:rPr>
          <w:rFonts w:ascii="Times New Roman" w:cs="Times New Roman" w:eastAsia="Times New Roman" w:hAnsi="Times New Roman"/>
          <w:sz w:val="18"/>
          <w:szCs w:val="18"/>
          <w:color w:val="auto"/>
        </w:rPr>
      </w:pPr>
    </w:p>
    <w:p>
      <w:pPr>
        <w:ind w:right="420" w:firstLine="494"/>
        <w:spacing w:after="0" w:line="282" w:lineRule="auto"/>
        <w:tabs>
          <w:tab w:leader="none" w:pos="6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53"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7" w:lineRule="exact"/>
        <w:rPr>
          <w:rFonts w:ascii="Times New Roman" w:cs="Times New Roman" w:eastAsia="Times New Roman" w:hAnsi="Times New Roman"/>
          <w:sz w:val="18"/>
          <w:szCs w:val="18"/>
          <w:color w:val="auto"/>
        </w:rPr>
      </w:pPr>
    </w:p>
    <w:p>
      <w:pPr>
        <w:ind w:right="140" w:firstLine="656"/>
        <w:spacing w:after="0" w:line="266" w:lineRule="auto"/>
        <w:tabs>
          <w:tab w:leader="none" w:pos="89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7" w:lineRule="exact"/>
        <w:rPr>
          <w:rFonts w:ascii="Times New Roman" w:cs="Times New Roman" w:eastAsia="Times New Roman" w:hAnsi="Times New Roman"/>
          <w:sz w:val="18"/>
          <w:szCs w:val="18"/>
          <w:color w:val="auto"/>
        </w:rPr>
      </w:pPr>
    </w:p>
    <w:p>
      <w:pPr>
        <w:ind w:right="40" w:firstLine="656"/>
        <w:spacing w:after="0" w:line="266" w:lineRule="auto"/>
        <w:tabs>
          <w:tab w:leader="none" w:pos="90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120" w:firstLine="656"/>
        <w:spacing w:after="0" w:line="282" w:lineRule="auto"/>
        <w:tabs>
          <w:tab w:leader="none" w:pos="89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53" w:lineRule="exact"/>
        <w:rPr>
          <w:rFonts w:ascii="Times New Roman" w:cs="Times New Roman" w:eastAsia="Times New Roman" w:hAnsi="Times New Roman"/>
          <w:sz w:val="18"/>
          <w:szCs w:val="18"/>
          <w:color w:val="auto"/>
        </w:rPr>
      </w:pPr>
    </w:p>
    <w:p>
      <w:pPr>
        <w:ind w:right="80" w:firstLine="656"/>
        <w:spacing w:after="0" w:line="312" w:lineRule="auto"/>
        <w:tabs>
          <w:tab w:leader="none" w:pos="903"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7"/>
          <w:szCs w:val="17"/>
          <w:color w:val="auto"/>
        </w:rPr>
      </w:pPr>
    </w:p>
    <w:p>
      <w:pPr>
        <w:ind w:right="180" w:firstLine="494"/>
        <w:spacing w:after="0" w:line="282" w:lineRule="auto"/>
        <w:tabs>
          <w:tab w:leader="none" w:pos="6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0" w:firstLine="656"/>
        <w:spacing w:after="0" w:line="282" w:lineRule="auto"/>
        <w:tabs>
          <w:tab w:leader="none" w:pos="89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540" w:firstLine="656"/>
        <w:spacing w:after="0" w:line="282" w:lineRule="auto"/>
        <w:tabs>
          <w:tab w:leader="none" w:pos="90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February 13, 2026</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A. O</w:t>
            </w:r>
            <w:r>
              <w:rPr>
                <w:rFonts w:ascii="Times New Roman" w:cs="Times New Roman" w:eastAsia="Times New Roman" w:hAnsi="Times New Roman"/>
                <w:sz w:val="14"/>
                <w:szCs w:val="14"/>
                <w:color w:val="auto"/>
              </w:rPr>
              <w:t>LIN</w:t>
            </w:r>
          </w:p>
        </w:tc>
      </w:tr>
      <w:tr>
        <w:trPr>
          <w:trHeight w:val="21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John A. Olin</w:t>
            </w:r>
          </w:p>
        </w:tc>
      </w:tr>
      <w:tr>
        <w:trPr>
          <w:trHeight w:val="23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6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Pursuant to 18 U.S.C. § 1350, the undersigned officers of Westinghouse Air Brake Technologies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hereby certify, to the best of their knowledge, that the Company’s Annual Report on Form 10-K for the year ended December 31, 2025 (the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14" w:lineRule="exact"/>
        <w:rPr>
          <w:sz w:val="20"/>
          <w:szCs w:val="20"/>
          <w:color w:val="auto"/>
        </w:rPr>
      </w:pPr>
    </w:p>
    <w:p>
      <w:pPr>
        <w:ind w:left="1260"/>
        <w:spacing w:after="0"/>
        <w:tabs>
          <w:tab w:leader="none" w:pos="3020" w:val="left"/>
          <w:tab w:leader="none" w:pos="3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R</w:t>
      </w:r>
      <w:r>
        <w:rPr>
          <w:rFonts w:ascii="Times New Roman" w:cs="Times New Roman" w:eastAsia="Times New Roman" w:hAnsi="Times New Roman"/>
          <w:sz w:val="13"/>
          <w:szCs w:val="13"/>
          <w:color w:val="auto"/>
        </w:rPr>
        <w:t>AFAEL</w:t>
      </w:r>
      <w:r>
        <w:rPr>
          <w:rFonts w:ascii="Times New Roman" w:cs="Times New Roman" w:eastAsia="Times New Roman" w:hAnsi="Times New Roman"/>
          <w:sz w:val="17"/>
          <w:szCs w:val="17"/>
          <w:color w:val="auto"/>
        </w:rPr>
        <w:t xml:space="preserve"> S</w:t>
      </w:r>
      <w:r>
        <w:rPr>
          <w:rFonts w:ascii="Times New Roman" w:cs="Times New Roman" w:eastAsia="Times New Roman" w:hAnsi="Times New Roman"/>
          <w:sz w:val="13"/>
          <w:szCs w:val="13"/>
          <w:color w:val="auto"/>
        </w:rPr>
        <w:t>ANTANA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26035</wp:posOffset>
            </wp:positionV>
            <wp:extent cx="29832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3"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4"/>
          <w:szCs w:val="14"/>
          <w:b w:val="1"/>
          <w:bCs w:val="1"/>
          <w:color w:val="auto"/>
        </w:rPr>
        <w:t>Rafael Santana</w:t>
      </w:r>
    </w:p>
    <w:p>
      <w:pPr>
        <w:spacing w:after="0" w:line="6"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69" w:lineRule="exact"/>
        <w:rPr>
          <w:sz w:val="20"/>
          <w:szCs w:val="20"/>
          <w:color w:val="auto"/>
        </w:rPr>
      </w:pPr>
    </w:p>
    <w:p>
      <w:pPr>
        <w:ind w:left="110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February 13, 2026</w:t>
      </w:r>
    </w:p>
    <w:p>
      <w:pPr>
        <w:spacing w:after="0" w:line="283" w:lineRule="exact"/>
        <w:rPr>
          <w:sz w:val="20"/>
          <w:szCs w:val="20"/>
          <w:color w:val="auto"/>
        </w:rPr>
      </w:pPr>
    </w:p>
    <w:p>
      <w:pPr>
        <w:ind w:left="1260"/>
        <w:spacing w:after="0"/>
        <w:tabs>
          <w:tab w:leader="none" w:pos="3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A. O</w:t>
      </w:r>
      <w:r>
        <w:rPr>
          <w:rFonts w:ascii="Times New Roman" w:cs="Times New Roman" w:eastAsia="Times New Roman" w:hAnsi="Times New Roman"/>
          <w:sz w:val="14"/>
          <w:szCs w:val="14"/>
          <w:color w:val="auto"/>
        </w:rPr>
        <w: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26035</wp:posOffset>
            </wp:positionV>
            <wp:extent cx="29832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3"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4"/>
          <w:szCs w:val="14"/>
          <w:b w:val="1"/>
          <w:bCs w:val="1"/>
          <w:color w:val="auto"/>
        </w:rPr>
        <w:t>John A. Olin</w:t>
      </w:r>
    </w:p>
    <w:p>
      <w:pPr>
        <w:spacing w:after="0" w:line="6"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66" w:lineRule="exact"/>
        <w:rPr>
          <w:sz w:val="20"/>
          <w:szCs w:val="20"/>
          <w:color w:val="auto"/>
        </w:rPr>
      </w:pPr>
    </w:p>
    <w:p>
      <w:pPr>
        <w:ind w:left="110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February 13,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1)"/>
      <w:numFmt w:val="decimal"/>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1)"/>
      <w:numFmt w:val="decimal"/>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1."/>
      <w:numFmt w:val="decimal"/>
      <w:start w:val="3"/>
    </w:lvl>
  </w:abstractNum>
  <w:abstractNum w:abstractNumId="27">
    <w:nsid w:val="6DE91B18"/>
    <w:multiLevelType w:val="hybridMultilevel"/>
    <w:lvl w:ilvl="0">
      <w:lvlJc w:val="left"/>
      <w:lvlText w:val="%1."/>
      <w:numFmt w:val="decimal"/>
      <w:start w:val="10"/>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3"/>
      <w:numFmt w:val="bullet"/>
      <w:start w:val="1"/>
    </w:lvl>
  </w:abstractNum>
  <w:abstractNum w:abstractNumId="30">
    <w:nsid w:val="32FFF902"/>
    <w:multiLevelType w:val="hybridMultilevel"/>
    <w:lvl w:ilvl="0">
      <w:lvlJc w:val="left"/>
      <w:lvlText w:val="8"/>
      <w:numFmt w:val="bullet"/>
      <w:start w:val="1"/>
    </w:lvl>
  </w:abstractNum>
  <w:abstractNum w:abstractNumId="31">
    <w:nsid w:val="684A481A"/>
    <w:multiLevelType w:val="hybridMultilevel"/>
    <w:lvl w:ilvl="0">
      <w:lvlJc w:val="left"/>
      <w:lvlText w:val="%1"/>
      <w:numFmt w:val="decimal"/>
      <w:start w:val="10"/>
    </w:lvl>
  </w:abstractNum>
  <w:abstractNum w:abstractNumId="32">
    <w:nsid w:val="579478FE"/>
    <w:multiLevelType w:val="hybridMultilevel"/>
    <w:lvl w:ilvl="0">
      <w:lvlJc w:val="left"/>
      <w:lvlText w:val="*"/>
      <w:numFmt w:val="bullet"/>
      <w:start w:val="1"/>
    </w:lvl>
    <w:lvl w:ilvl="1">
      <w:lvlJc w:val="left"/>
      <w:lvlText w:val="%2"/>
      <w:numFmt w:val="decimal"/>
      <w:start w:val="35"/>
    </w:lvl>
  </w:abstractNum>
  <w:abstractNum w:abstractNumId="33">
    <w:nsid w:val="749ABB43"/>
    <w:multiLevelType w:val="hybridMultilevel"/>
    <w:lvl w:ilvl="0">
      <w:lvlJc w:val="left"/>
      <w:lvlText w:val="**"/>
      <w:numFmt w:val="bullet"/>
      <w:start w:val="1"/>
    </w:lvl>
    <w:lvl w:ilvl="1">
      <w:lvlJc w:val="left"/>
      <w:lvlText w:val="%2"/>
      <w:numFmt w:val="decimal"/>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1"/>
    </w:lvl>
    <w:lvl w:ilvl="1">
      <w:lvlJc w:val="left"/>
      <w:lvlText w:val="%2."/>
      <w:numFmt w:val="lowerLetter"/>
      <w:start w:val="1"/>
    </w:lvl>
  </w:abstractNum>
  <w:abstractNum w:abstractNumId="36">
    <w:nsid w:val="79A1DEAA"/>
    <w:multiLevelType w:val="hybridMultilevel"/>
    <w:lvl w:ilvl="0">
      <w:lvlJc w:val="left"/>
      <w:lvlText w:val="%1"/>
      <w:numFmt w:val="decimal"/>
      <w:start w:val="1"/>
    </w:lvl>
    <w:lvl w:ilvl="1">
      <w:lvlJc w:val="left"/>
      <w:lvlText w:val="%2."/>
      <w:numFmt w:val="lowerLetter"/>
      <w:start w:val="4"/>
    </w:lvl>
  </w:abstractNum>
  <w:abstractNum w:abstractNumId="37">
    <w:nsid w:val="75C6C33A"/>
    <w:multiLevelType w:val="hybridMultilevel"/>
    <w:lvl w:ilvl="0">
      <w:lvlJc w:val="left"/>
      <w:lvlText w:val="%1."/>
      <w:numFmt w:val="decimal"/>
      <w:start w:val="3"/>
    </w:lvl>
    <w:lvl w:ilvl="1">
      <w:lvlJc w:val="left"/>
      <w:lvlText w:val="%2"/>
      <w:numFmt w:val="lowerLetter"/>
      <w:start w:val="1"/>
    </w:lvl>
  </w:abstractNum>
  <w:abstractNum w:abstractNumId="38">
    <w:nsid w:val="12E685FB"/>
    <w:multiLevelType w:val="hybridMultilevel"/>
    <w:lvl w:ilvl="0">
      <w:lvlJc w:val="left"/>
      <w:lvlText w:val="%1."/>
      <w:numFmt w:val="decimal"/>
      <w:start w:val="4"/>
    </w:lvl>
    <w:lvl w:ilvl="1">
      <w:lvlJc w:val="left"/>
      <w:lvlText w:val="%2."/>
      <w:numFmt w:val="lowerLetter"/>
      <w:start w:val="1"/>
    </w:lvl>
  </w:abstractNum>
  <w:abstractNum w:abstractNumId="39">
    <w:nsid w:val="70C6A529"/>
    <w:multiLevelType w:val="hybridMultilevel"/>
    <w:lvl w:ilvl="0">
      <w:lvlJc w:val="left"/>
      <w:lvlText w:val="%1."/>
      <w:numFmt w:val="decimal"/>
      <w:start w:val="8"/>
    </w:lvl>
    <w:lvl w:ilvl="1">
      <w:lvlJc w:val="left"/>
      <w:lvlText w:val="%2."/>
      <w:numFmt w:val="lowerLetter"/>
      <w:start w:val="1"/>
    </w:lvl>
  </w:abstractNum>
  <w:abstractNum w:abstractNumId="40">
    <w:nsid w:val="520EEDD1"/>
    <w:multiLevelType w:val="hybridMultilevel"/>
    <w:lvl w:ilvl="0">
      <w:lvlJc w:val="left"/>
      <w:lvlText w:val="1"/>
      <w:numFmt w:val="bullet"/>
      <w:start w:val="1"/>
    </w:lvl>
  </w:abstractNum>
  <w:abstractNum w:abstractNumId="41">
    <w:nsid w:val="374A3FE6"/>
    <w:multiLevelType w:val="hybridMultilevel"/>
    <w:lvl w:ilvl="0">
      <w:lvlJc w:val="left"/>
      <w:lvlText w:val="%1."/>
      <w:numFmt w:val="decimal"/>
      <w:start w:val="10"/>
    </w:lvl>
  </w:abstractNum>
  <w:abstractNum w:abstractNumId="42">
    <w:nsid w:val="4F4EF005"/>
    <w:multiLevelType w:val="hybridMultilevel"/>
    <w:lvl w:ilvl="0">
      <w:lvlJc w:val="left"/>
      <w:lvlText w:val="%1."/>
      <w:numFmt w:val="decimal"/>
      <w:start w:val="12"/>
    </w:lvl>
    <w:lvl w:ilvl="1">
      <w:lvlJc w:val="left"/>
      <w:lvlText w:val="%2."/>
      <w:numFmt w:val="lowerLetter"/>
      <w:start w:val="1"/>
    </w:lvl>
  </w:abstractNum>
  <w:abstractNum w:abstractNumId="43">
    <w:nsid w:val="23F9C13C"/>
    <w:multiLevelType w:val="hybridMultilevel"/>
    <w:lvl w:ilvl="0">
      <w:lvlJc w:val="left"/>
      <w:lvlText w:val="%1."/>
      <w:numFmt w:val="lowerLetter"/>
      <w:start w:val="3"/>
    </w:lvl>
  </w:abstractNum>
  <w:abstractNum w:abstractNumId="44">
    <w:nsid w:val="649BB77C"/>
    <w:multiLevelType w:val="hybridMultilevel"/>
    <w:lvl w:ilvl="0">
      <w:lvlJc w:val="left"/>
      <w:lvlText w:val="2"/>
      <w:numFmt w:val="bullet"/>
      <w:start w:val="1"/>
    </w:lvl>
  </w:abstractNum>
  <w:abstractNum w:abstractNumId="45">
    <w:nsid w:val="275AC794"/>
    <w:multiLevelType w:val="hybridMultilevel"/>
    <w:lvl w:ilvl="0">
      <w:lvlJc w:val="left"/>
      <w:lvlText w:val="%1"/>
      <w:numFmt w:val="decimal"/>
      <w:start w:val="1"/>
    </w:lvl>
    <w:lvl w:ilvl="1">
      <w:lvlJc w:val="left"/>
      <w:lvlText w:val="%2."/>
      <w:numFmt w:val="lowerLetter"/>
      <w:start w:val="6"/>
    </w:lvl>
  </w:abstractNum>
  <w:abstractNum w:abstractNumId="46">
    <w:nsid w:val="39386575"/>
    <w:multiLevelType w:val="hybridMultilevel"/>
    <w:lvl w:ilvl="0">
      <w:lvlJc w:val="left"/>
      <w:lvlText w:val="%1."/>
      <w:numFmt w:val="decimal"/>
      <w:start w:val="13"/>
    </w:lvl>
    <w:lvl w:ilvl="1">
      <w:lvlJc w:val="left"/>
      <w:lvlText w:val="%2"/>
      <w:numFmt w:val="lowerLetter"/>
      <w:start w:val="1"/>
    </w:lvl>
  </w:abstractNum>
  <w:abstractNum w:abstractNumId="47">
    <w:nsid w:val="1CF10FD8"/>
    <w:multiLevelType w:val="hybridMultilevel"/>
    <w:lvl w:ilvl="0">
      <w:lvlJc w:val="left"/>
      <w:lvlText w:val="%1."/>
      <w:numFmt w:val="decimal"/>
      <w:start w:val="14"/>
    </w:lvl>
  </w:abstractNum>
  <w:abstractNum w:abstractNumId="48">
    <w:nsid w:val="180115BE"/>
    <w:multiLevelType w:val="hybridMultilevel"/>
    <w:lvl w:ilvl="0">
      <w:lvlJc w:val="left"/>
      <w:lvlText w:val="%1."/>
      <w:numFmt w:val="decimal"/>
      <w:start w:val="18"/>
    </w:lvl>
  </w:abstractNum>
  <w:abstractNum w:abstractNumId="49">
    <w:nsid w:val="235BA861"/>
    <w:multiLevelType w:val="hybridMultilevel"/>
    <w:lvl w:ilvl="0">
      <w:lvlJc w:val="left"/>
      <w:lvlText w:val="%1"/>
      <w:numFmt w:val="decimal"/>
      <w:start w:val="1"/>
    </w:lvl>
    <w:lvl w:ilvl="1">
      <w:lvlJc w:val="left"/>
      <w:lvlText w:val="(%2)"/>
      <w:numFmt w:val="lowerLetter"/>
      <w:start w:val="1"/>
    </w:lvl>
  </w:abstractNum>
  <w:abstractNum w:abstractNumId="50">
    <w:nsid w:val="47398C89"/>
    <w:multiLevelType w:val="hybridMultilevel"/>
    <w:lvl w:ilvl="0">
      <w:lvlJc w:val="left"/>
      <w:lvlText w:val="%1."/>
      <w:numFmt w:val="decimal"/>
      <w:start w:val="22"/>
    </w:lvl>
    <w:lvl w:ilvl="1">
      <w:lvlJc w:val="left"/>
      <w:lvlText w:val="%2"/>
      <w:numFmt w:val="lowerLetter"/>
      <w:start w:val="1"/>
    </w:lvl>
  </w:abstractNum>
  <w:abstractNum w:abstractNumId="51">
    <w:nsid w:val="354FE9F9"/>
    <w:multiLevelType w:val="hybridMultilevel"/>
    <w:lvl w:ilvl="0">
      <w:lvlJc w:val="left"/>
      <w:lvlText w:val="%1."/>
      <w:numFmt w:val="decimal"/>
      <w:start w:val="24"/>
    </w:lvl>
  </w:abstractNum>
  <w:abstractNum w:abstractNumId="52">
    <w:nsid w:val="15B5AF5C"/>
    <w:multiLevelType w:val="hybridMultilevel"/>
    <w:lvl w:ilvl="0">
      <w:lvlJc w:val="left"/>
      <w:lvlText w:val="%1."/>
      <w:numFmt w:val="decimal"/>
      <w:start w:val="1"/>
    </w:lvl>
    <w:lvl w:ilvl="1">
      <w:lvlJc w:val="left"/>
      <w:lvlText w:val="%2."/>
      <w:numFmt w:val="lowerLetter"/>
      <w:start w:val="1"/>
    </w:lvl>
  </w:abstractNum>
  <w:abstractNum w:abstractNumId="53">
    <w:nsid w:val="741226BB"/>
    <w:multiLevelType w:val="hybridMultilevel"/>
    <w:lvl w:ilvl="0">
      <w:lvlJc w:val="left"/>
      <w:lvlText w:val="%1."/>
      <w:numFmt w:val="decimal"/>
      <w:start w:val="1"/>
    </w:lvl>
  </w:abstractNum>
  <w:abstractNum w:abstractNumId="54">
    <w:nsid w:val="D34B6A8"/>
    <w:multiLevelType w:val="hybridMultilevel"/>
    <w:lvl w:ilvl="0">
      <w:lvlJc w:val="left"/>
      <w:lvlText w:val="%1."/>
      <w:numFmt w:val="decimal"/>
      <w:start w:val="2"/>
    </w:lvl>
    <w:lvl w:ilvl="1">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57">
    <w:nsid w:val="61574095"/>
    <w:multiLevelType w:val="hybridMultilevel"/>
    <w:lvl w:ilvl="0">
      <w:lvlJc w:val="left"/>
      <w:lvlText w:val="%1"/>
      <w:numFmt w:val="decimal"/>
      <w:start w:val="1"/>
    </w:lvl>
    <w:lvl w:ilvl="1">
      <w:lvlJc w:val="left"/>
      <w:lvlText w:val="%2."/>
      <w:numFmt w:val="lowerLetter"/>
      <w:start w:val="2"/>
    </w:lvl>
  </w:abstractNum>
  <w:abstractNum w:abstractNumId="58">
    <w:nsid w:val="7E0C57B1"/>
    <w:multiLevelType w:val="hybridMultilevel"/>
    <w:lvl w:ilvl="0">
      <w:lvlJc w:val="left"/>
      <w:lvlText w:val="%1."/>
      <w:numFmt w:val="decimal"/>
      <w:start w:val="3"/>
    </w:lvl>
    <w:lvl w:ilvl="1">
      <w:lvlJc w:val="left"/>
      <w:lvlText w:val="%2"/>
      <w:numFmt w:val="lowerLetter"/>
      <w:start w:val="1"/>
    </w:lvl>
  </w:abstractNum>
  <w:abstractNum w:abstractNumId="59">
    <w:nsid w:val="77AE35EB"/>
    <w:multiLevelType w:val="hybridMultilevel"/>
    <w:lvl w:ilvl="0">
      <w:lvlJc w:val="left"/>
      <w:lvlText w:val="%1."/>
      <w:numFmt w:val="decimal"/>
      <w:start w:val="1"/>
    </w:lvl>
  </w:abstractNum>
  <w:abstractNum w:abstractNumId="60">
    <w:nsid w:val="579BE4F1"/>
    <w:multiLevelType w:val="hybridMultilevel"/>
    <w:lvl w:ilvl="0">
      <w:lvlJc w:val="left"/>
      <w:lvlText w:val="%1."/>
      <w:numFmt w:val="upperLetter"/>
      <w:start w:val="4"/>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4"/>
    </w:lvl>
  </w:abstractNum>
  <w:abstractNum w:abstractNumId="63">
    <w:nsid w:val="2F305DEF"/>
    <w:multiLevelType w:val="hybridMultilevel"/>
    <w:lvl w:ilvl="0">
      <w:lvlJc w:val="left"/>
      <w:lvlText w:val="(%1)"/>
      <w:numFmt w:val="decimal"/>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98" Type="http://schemas.openxmlformats.org/officeDocument/2006/relationships/hyperlink" Target="https://www.sec.gov/Archives/edgar/data/943452/000114036119003790/s002675x3_ex10-2.htm" TargetMode="External"/><Relationship Id="rId99" Type="http://schemas.openxmlformats.org/officeDocument/2006/relationships/hyperlink" Target="https://www.sec.gov/Archives/edgar/data/943452/000119312511046939/dex31.htm" TargetMode="External"/><Relationship Id="rId100" Type="http://schemas.openxmlformats.org/officeDocument/2006/relationships/hyperlink" Target="https://www.sec.gov/Archives/edgar/data/943452/000119312513221862/d539211dex31.htm" TargetMode="External"/><Relationship Id="rId101" Type="http://schemas.openxmlformats.org/officeDocument/2006/relationships/hyperlink" Target="https://www.sec.gov/Archives/edgar/data/943452/000114036123006569/ny20007491x1_ex3-1.htm" TargetMode="External"/><Relationship Id="rId102" Type="http://schemas.openxmlformats.org/officeDocument/2006/relationships/hyperlink" Target="https://www.sec.gov/Archives/edgar/data/943452/000162828019002095/wabex34-10k2018.htm" TargetMode="External"/><Relationship Id="rId103" Type="http://schemas.openxmlformats.org/officeDocument/2006/relationships/hyperlink" Target="https://www.sec.gov/Archives/edgar/data/943452/000114036119003790/s002675x3_ex3-1.htm" TargetMode="External"/><Relationship Id="rId104" Type="http://schemas.openxmlformats.org/officeDocument/2006/relationships/hyperlink" Target="https://www.sec.gov/Archives/edgar/data/943452/000119312513326831/d579823dex41.htm" TargetMode="External"/><Relationship Id="rId105" Type="http://schemas.openxmlformats.org/officeDocument/2006/relationships/hyperlink" Target="https://www.sec.gov/Archives/edgar/data/943452/000119312513326831/d579823dex42.htm" TargetMode="External"/><Relationship Id="rId106" Type="http://schemas.openxmlformats.org/officeDocument/2006/relationships/hyperlink" Target="https://www.sec.gov/Archives/edgar/data/943452/000119312516759080/d286174dex42.htm" TargetMode="External"/><Relationship Id="rId107" Type="http://schemas.openxmlformats.org/officeDocument/2006/relationships/hyperlink" Target="https://www.sec.gov/Archives/edgar/data/943452/000119312516759080/d286174dex43.htm" TargetMode="External"/><Relationship Id="rId108" Type="http://schemas.openxmlformats.org/officeDocument/2006/relationships/hyperlink" Target="https://www.sec.gov/Archives/edgar/data/943452/000162828017001863/wabex4910k2016.htm" TargetMode="External"/><Relationship Id="rId109" Type="http://schemas.openxmlformats.org/officeDocument/2006/relationships/hyperlink" Target="https://www.sec.gov/Archives/edgar/data/943452/000162828017004956/exhibit41.htm" TargetMode="External"/><Relationship Id="rId112" Type="http://schemas.openxmlformats.org/officeDocument/2006/relationships/hyperlink" Target="https://www.sec.gov/Archives/edgar/data/943452/000119312517231307/d326636dex410.htm" TargetMode="External"/><Relationship Id="rId113" Type="http://schemas.openxmlformats.org/officeDocument/2006/relationships/hyperlink" Target="https://www.sec.gov/Archives/edgar/data/943452/000162828018009841/wabexseventhsupplemental.htm" TargetMode="External"/><Relationship Id="rId114" Type="http://schemas.openxmlformats.org/officeDocument/2006/relationships/hyperlink" Target="https://www.sec.gov/Archives/edgar/data/943452/000162828018009841/wabexeigthsupplementalin.htm" TargetMode="External"/><Relationship Id="rId115" Type="http://schemas.openxmlformats.org/officeDocument/2006/relationships/hyperlink" Target="https://www.sec.gov/Archives/edgar/data/943452/000114036118038440/s002426x14_ex4-3.htm" TargetMode="External"/><Relationship Id="rId116" Type="http://schemas.openxmlformats.org/officeDocument/2006/relationships/hyperlink" Target="https://www.sec.gov/Archives/edgar/data/943452/000162828019009750/wabex41q22019.htm" TargetMode="External"/><Relationship Id="rId117" Type="http://schemas.openxmlformats.org/officeDocument/2006/relationships/hyperlink" Target="https://www.sec.gov/Archives/edgar/data/0000943452/000114036121019675/nt10024721x10_ex4-1.htm" TargetMode="External"/><Relationship Id="rId118" Type="http://schemas.openxmlformats.org/officeDocument/2006/relationships/hyperlink" Target="https://www.sec.gov/Archives/edgar/data/0000943452/000114036121019675/nt10024721x10_ex4-2.htm" TargetMode="External"/><Relationship Id="rId119" Type="http://schemas.openxmlformats.org/officeDocument/2006/relationships/hyperlink" Target="https://www.sec.gov/Archives/edgar/data/943452/000114036124012639/ny20023735x1_ex4-3.htm" TargetMode="External"/><Relationship Id="rId120" Type="http://schemas.openxmlformats.org/officeDocument/2006/relationships/hyperlink" Target="https://www.sec.gov/Archives/edgar/data/943452/000114036125019666/ny20048743x1_ex4-18.htm" TargetMode="External"/><Relationship Id="rId121" Type="http://schemas.openxmlformats.org/officeDocument/2006/relationships/hyperlink" Target="https://www.sec.gov/Archives/edgar/data/943452/000114036125020758/ny20048743x7_ex4-3.htm" TargetMode="External"/><Relationship Id="rId122" Type="http://schemas.openxmlformats.org/officeDocument/2006/relationships/hyperlink" Target="https://www.sec.gov/Archives/edgar/data/943452/000119312517105511/d323634ddef14a.htm#toc323634_49" TargetMode="External"/><Relationship Id="rId123" Type="http://schemas.openxmlformats.org/officeDocument/2006/relationships/hyperlink" Target="https://www.sec.gov/Archives/edgar/data/943452/000119312512094184/d309440ds8pos.htm" TargetMode="External"/><Relationship Id="rId124" Type="http://schemas.openxmlformats.org/officeDocument/2006/relationships/hyperlink" Target="https://www.sec.gov/Archives/edgar/data/943452/000119312513071115/d448585dex107.htm" TargetMode="External"/><Relationship Id="rId125" Type="http://schemas.openxmlformats.org/officeDocument/2006/relationships/hyperlink" Target="https://www.sec.gov/Archives/edgar/data/943452/000162828022021268/wabtecex10.htm" TargetMode="External"/><Relationship Id="rId128" Type="http://schemas.openxmlformats.org/officeDocument/2006/relationships/hyperlink" Target="https://www.sec.gov/Archives/edgar/data/943452/000119312509143629/dex101.htm" TargetMode="External"/><Relationship Id="rId129" Type="http://schemas.openxmlformats.org/officeDocument/2006/relationships/hyperlink" Target="https://www.sec.gov/Archives/edgar/data/943452/000119312513071115/d448585dex1012.htm" TargetMode="External"/><Relationship Id="rId130" Type="http://schemas.openxmlformats.org/officeDocument/2006/relationships/hyperlink" Target="https://www.sec.gov/Archives/edgar/data/943452/000119312513071115/d448585dex1013.htm" TargetMode="External"/><Relationship Id="rId131" Type="http://schemas.openxmlformats.org/officeDocument/2006/relationships/hyperlink" Target="https://www.sec.gov/Archives/edgar/data/943452/000119312513071115/d448585dex1014.htm" TargetMode="External"/><Relationship Id="rId132" Type="http://schemas.openxmlformats.org/officeDocument/2006/relationships/hyperlink" Target="https://www.sec.gov/Archives/edgar/data/943452/000119312513071115/d448585dex1015.htm" TargetMode="External"/><Relationship Id="rId133" Type="http://schemas.openxmlformats.org/officeDocument/2006/relationships/hyperlink" Target="https://www.sec.gov/Archives/edgar/data/943452/000162828025005100/wabex1016.htm" TargetMode="External"/><Relationship Id="rId134" Type="http://schemas.openxmlformats.org/officeDocument/2006/relationships/hyperlink" Target="https://www.sec.gov/Archives/edgar/data/943452/000114036122044669/brhc10045145_ex10-2.htm" TargetMode="External"/><Relationship Id="rId135" Type="http://schemas.openxmlformats.org/officeDocument/2006/relationships/hyperlink" Target="https://www.sec.gov/Archives/edgar/data/0000943452/000114036121035452/brhc10030064_ex99-1.htm" TargetMode="External"/><Relationship Id="rId136" Type="http://schemas.openxmlformats.org/officeDocument/2006/relationships/hyperlink" Target="https://www.sec.gov/Archives/edgar/data/943452/000114036122044669/brhc10045145_ex10-1.htm" TargetMode="External"/><Relationship Id="rId137" Type="http://schemas.openxmlformats.org/officeDocument/2006/relationships/hyperlink" Target="https://www.sec.gov/Archives/edgar/data/943452/000114036125015779/ef20047922_ex10-1.htm" TargetMode="External"/><Relationship Id="rId138" Type="http://schemas.openxmlformats.org/officeDocument/2006/relationships/hyperlink" Target="https://www.sec.gov/Archives/edgar/data/943452/000162828024004774/wab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2026-02-13T15:15:23Z</dcterms:created>
  <dcterms:modified xsi:type="dcterms:W3CDTF">2026-02-13T15:15:23Z</dcterms:modified>
</cp:coreProperties>
</file>