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-129540</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9"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5"/>
          <w:szCs w:val="1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-88900</wp:posOffset>
            </wp:positionV>
            <wp:extent cx="73660" cy="74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88" w:lineRule="exact"/>
        <w:rPr>
          <w:sz w:val="24"/>
          <w:szCs w:val="24"/>
          <w:color w:val="auto"/>
        </w:rPr>
      </w:pPr>
    </w:p>
    <w:tbl>
      <w:tblPr>
        <w:tblLayout w:type="fixed"/>
        <w:tblInd w:w="41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0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237"/>
        </w:trPr>
        <w:tc>
          <w:tcPr>
            <w:tcW w:w="2880" w:type="dxa"/>
            <w:vAlign w:val="bottom"/>
            <w:gridSpan w:val="2"/>
          </w:tcPr>
          <w:p>
            <w:pPr>
              <w:ind w:left="120"/>
              <w:spacing w:after="0"/>
              <w:rPr>
                <w:sz w:val="20"/>
                <w:szCs w:val="20"/>
                <w:color w:val="auto"/>
              </w:rPr>
            </w:pPr>
            <w:r>
              <w:rPr>
                <w:rFonts w:ascii="Arial" w:cs="Arial" w:eastAsia="Arial" w:hAnsi="Arial"/>
                <w:sz w:val="18"/>
                <w:szCs w:val="18"/>
                <w:b w:val="1"/>
                <w:bCs w:val="1"/>
                <w:color w:val="auto"/>
                <w:w w:val="90"/>
              </w:rPr>
              <w:t>Commission file number 033-90866</w:t>
            </w:r>
          </w:p>
        </w:tc>
        <w:tc>
          <w:tcPr>
            <w:tcW w:w="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4605655</wp:posOffset>
            </wp:positionH>
            <wp:positionV relativeFrom="paragraph">
              <wp:posOffset>-162560</wp:posOffset>
            </wp:positionV>
            <wp:extent cx="31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WESTINGHOUSE AIR BRAKE TECHNOLOGIES CORPORATION</w:t>
      </w:r>
    </w:p>
    <w:p>
      <w:pPr>
        <w:spacing w:after="0" w:line="31" w:lineRule="exact"/>
        <w:rPr>
          <w:sz w:val="24"/>
          <w:szCs w:val="24"/>
          <w:color w:val="auto"/>
        </w:rPr>
      </w:pPr>
    </w:p>
    <w:tbl>
      <w:tblPr>
        <w:tblLayout w:type="fixed"/>
        <w:tblInd w:w="1020" w:type="dxa"/>
        <w:tblCellMar>
          <w:top w:w="0" w:type="dxa"/>
          <w:left w:w="0" w:type="dxa"/>
          <w:bottom w:w="0" w:type="dxa"/>
          <w:right w:w="0" w:type="dxa"/>
        </w:tblCellMar>
      </w:tblPr>
      <w:tr>
        <w:trPr>
          <w:trHeight w:val="186"/>
        </w:trPr>
        <w:tc>
          <w:tcPr>
            <w:tcW w:w="6280" w:type="dxa"/>
            <w:vAlign w:val="bottom"/>
          </w:tcPr>
          <w:p>
            <w:pPr>
              <w:ind w:left="3000"/>
              <w:spacing w:after="0"/>
              <w:rPr>
                <w:sz w:val="20"/>
                <w:szCs w:val="20"/>
                <w:color w:val="auto"/>
              </w:rPr>
            </w:pPr>
            <w:r>
              <w:rPr>
                <w:rFonts w:ascii="Arial" w:cs="Arial" w:eastAsia="Arial" w:hAnsi="Arial"/>
                <w:sz w:val="14"/>
                <w:szCs w:val="14"/>
                <w:b w:val="1"/>
                <w:bCs w:val="1"/>
                <w:color w:val="auto"/>
                <w:w w:val="94"/>
              </w:rPr>
              <w:t>(Exact name of registrant as specified in its charter)</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280" w:type="dxa"/>
            <w:vAlign w:val="bottom"/>
          </w:tcPr>
          <w:p>
            <w:pPr>
              <w:jc w:val="center"/>
              <w:ind w:right="264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jc w:val="right"/>
              <w:ind w:right="481"/>
              <w:spacing w:after="0"/>
              <w:rPr>
                <w:sz w:val="20"/>
                <w:szCs w:val="20"/>
                <w:color w:val="auto"/>
              </w:rPr>
            </w:pPr>
            <w:r>
              <w:rPr>
                <w:rFonts w:ascii="Arial" w:cs="Arial" w:eastAsia="Arial" w:hAnsi="Arial"/>
                <w:sz w:val="18"/>
                <w:szCs w:val="18"/>
                <w:b w:val="1"/>
                <w:bCs w:val="1"/>
                <w:color w:val="auto"/>
              </w:rPr>
              <w:t>25-1615902</w:t>
            </w:r>
          </w:p>
        </w:tc>
        <w:tc>
          <w:tcPr>
            <w:tcW w:w="0" w:type="dxa"/>
            <w:vAlign w:val="bottom"/>
          </w:tcPr>
          <w:p>
            <w:pPr>
              <w:spacing w:after="0"/>
              <w:rPr>
                <w:sz w:val="1"/>
                <w:szCs w:val="1"/>
                <w:color w:val="auto"/>
              </w:rPr>
            </w:pPr>
          </w:p>
        </w:tc>
      </w:tr>
      <w:tr>
        <w:trPr>
          <w:trHeight w:val="144"/>
        </w:trPr>
        <w:tc>
          <w:tcPr>
            <w:tcW w:w="6280" w:type="dxa"/>
            <w:vAlign w:val="bottom"/>
          </w:tcPr>
          <w:p>
            <w:pPr>
              <w:jc w:val="center"/>
              <w:ind w:right="26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10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280" w:type="dxa"/>
            <w:vAlign w:val="bottom"/>
          </w:tcPr>
          <w:p>
            <w:pPr>
              <w:jc w:val="center"/>
              <w:ind w:right="2640"/>
              <w:spacing w:after="0"/>
              <w:rPr>
                <w:sz w:val="20"/>
                <w:szCs w:val="20"/>
                <w:color w:val="auto"/>
              </w:rPr>
            </w:pPr>
            <w:r>
              <w:rPr>
                <w:rFonts w:ascii="Arial" w:cs="Arial" w:eastAsia="Arial" w:hAnsi="Arial"/>
                <w:sz w:val="14"/>
                <w:szCs w:val="14"/>
                <w:b w:val="1"/>
                <w:bCs w:val="1"/>
                <w:color w:val="auto"/>
                <w:w w:val="94"/>
              </w:rPr>
              <w:t>incorporation or organization)</w:t>
            </w:r>
          </w:p>
        </w:tc>
        <w:tc>
          <w:tcPr>
            <w:tcW w:w="210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556"/>
        </w:trPr>
        <w:tc>
          <w:tcPr>
            <w:tcW w:w="6280" w:type="dxa"/>
            <w:vAlign w:val="bottom"/>
          </w:tcPr>
          <w:p>
            <w:pPr>
              <w:jc w:val="center"/>
              <w:ind w:right="2640"/>
              <w:spacing w:after="0"/>
              <w:rPr>
                <w:sz w:val="20"/>
                <w:szCs w:val="20"/>
                <w:color w:val="auto"/>
              </w:rPr>
            </w:pPr>
            <w:r>
              <w:rPr>
                <w:rFonts w:ascii="Arial" w:cs="Arial" w:eastAsia="Arial" w:hAnsi="Arial"/>
                <w:sz w:val="18"/>
                <w:szCs w:val="18"/>
                <w:b w:val="1"/>
                <w:bCs w:val="1"/>
                <w:color w:val="auto"/>
                <w:w w:val="89"/>
              </w:rPr>
              <w:t>30 Isabella Street</w:t>
            </w:r>
          </w:p>
        </w:tc>
        <w:tc>
          <w:tcPr>
            <w:tcW w:w="2100" w:type="dxa"/>
            <w:vAlign w:val="bottom"/>
            <w:vMerge w:val="restart"/>
          </w:tcPr>
          <w:p>
            <w:pPr>
              <w:jc w:val="right"/>
              <w:ind w:right="361"/>
              <w:spacing w:after="0"/>
              <w:rPr>
                <w:sz w:val="20"/>
                <w:szCs w:val="20"/>
                <w:color w:val="auto"/>
              </w:rPr>
            </w:pPr>
            <w:r>
              <w:rPr>
                <w:rFonts w:ascii="Arial" w:cs="Arial" w:eastAsia="Arial" w:hAnsi="Arial"/>
                <w:sz w:val="18"/>
                <w:szCs w:val="18"/>
                <w:b w:val="1"/>
                <w:bCs w:val="1"/>
                <w:color w:val="auto"/>
              </w:rPr>
              <w:t>(412) 825-1000</w:t>
            </w:r>
          </w:p>
        </w:tc>
        <w:tc>
          <w:tcPr>
            <w:tcW w:w="0" w:type="dxa"/>
            <w:vAlign w:val="bottom"/>
          </w:tcPr>
          <w:p>
            <w:pPr>
              <w:spacing w:after="0"/>
              <w:rPr>
                <w:sz w:val="1"/>
                <w:szCs w:val="1"/>
                <w:color w:val="auto"/>
              </w:rPr>
            </w:pPr>
          </w:p>
        </w:tc>
      </w:tr>
      <w:tr>
        <w:trPr>
          <w:trHeight w:val="220"/>
        </w:trPr>
        <w:tc>
          <w:tcPr>
            <w:tcW w:w="6280" w:type="dxa"/>
            <w:vAlign w:val="bottom"/>
          </w:tcPr>
          <w:p>
            <w:pPr>
              <w:jc w:val="center"/>
              <w:ind w:right="2620"/>
              <w:spacing w:after="0"/>
              <w:rPr>
                <w:sz w:val="20"/>
                <w:szCs w:val="20"/>
                <w:color w:val="auto"/>
              </w:rPr>
            </w:pPr>
            <w:r>
              <w:rPr>
                <w:rFonts w:ascii="Arial" w:cs="Arial" w:eastAsia="Arial" w:hAnsi="Arial"/>
                <w:sz w:val="18"/>
                <w:szCs w:val="18"/>
                <w:b w:val="1"/>
                <w:bCs w:val="1"/>
                <w:color w:val="auto"/>
                <w:w w:val="89"/>
              </w:rPr>
              <w:t>Pittsburgh, Pennsylvania 15212</w:t>
            </w: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80" w:type="dxa"/>
            <w:vAlign w:val="bottom"/>
          </w:tcPr>
          <w:p>
            <w:pPr>
              <w:jc w:val="center"/>
              <w:ind w:right="26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100" w:type="dxa"/>
            <w:vAlign w:val="bottom"/>
          </w:tcPr>
          <w:p>
            <w:pPr>
              <w:jc w:val="center"/>
              <w:ind w:left="21"/>
              <w:spacing w:after="0"/>
              <w:rPr>
                <w:sz w:val="20"/>
                <w:szCs w:val="20"/>
                <w:color w:val="auto"/>
              </w:rPr>
            </w:pPr>
            <w:r>
              <w:rPr>
                <w:rFonts w:ascii="Arial" w:cs="Arial" w:eastAsia="Arial" w:hAnsi="Arial"/>
                <w:sz w:val="14"/>
                <w:szCs w:val="14"/>
                <w:b w:val="1"/>
                <w:bCs w:val="1"/>
                <w:color w:val="auto"/>
                <w:w w:val="92"/>
              </w:rPr>
              <w:t>(Registrant’s telephone number)</w:t>
            </w:r>
          </w:p>
        </w:tc>
        <w:tc>
          <w:tcPr>
            <w:tcW w:w="0" w:type="dxa"/>
            <w:vAlign w:val="bottom"/>
          </w:tcPr>
          <w:p>
            <w:pPr>
              <w:spacing w:after="0"/>
              <w:rPr>
                <w:sz w:val="1"/>
                <w:szCs w:val="1"/>
                <w:color w:val="auto"/>
              </w:rPr>
            </w:pPr>
          </w:p>
        </w:tc>
      </w:tr>
    </w:tbl>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34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b w:val="1"/>
                <w:bCs w:val="1"/>
                <w:color w:val="auto"/>
                <w:w w:val="84"/>
              </w:rPr>
              <w:t>Class</w:t>
            </w:r>
          </w:p>
        </w:tc>
        <w:tc>
          <w:tcPr>
            <w:tcW w:w="3900" w:type="dxa"/>
            <w:vAlign w:val="bottom"/>
            <w:tcBorders>
              <w:bottom w:val="single" w:sz="8" w:color="auto"/>
            </w:tcBorders>
          </w:tcPr>
          <w:p>
            <w:pPr>
              <w:jc w:val="center"/>
              <w:ind w:left="564"/>
              <w:spacing w:after="0"/>
              <w:rPr>
                <w:sz w:val="20"/>
                <w:szCs w:val="20"/>
                <w:color w:val="auto"/>
              </w:rPr>
            </w:pPr>
            <w:r>
              <w:rPr>
                <w:rFonts w:ascii="Arial" w:cs="Arial" w:eastAsia="Arial" w:hAnsi="Arial"/>
                <w:sz w:val="15"/>
                <w:szCs w:val="15"/>
                <w:b w:val="1"/>
                <w:bCs w:val="1"/>
                <w:color w:val="auto"/>
                <w:w w:val="93"/>
              </w:rPr>
              <w:t>Trading Symbol</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jc w:val="center"/>
              <w:ind w:right="224"/>
              <w:spacing w:after="0"/>
              <w:rPr>
                <w:sz w:val="20"/>
                <w:szCs w:val="20"/>
                <w:color w:val="auto"/>
              </w:rPr>
            </w:pPr>
            <w:r>
              <w:rPr>
                <w:rFonts w:ascii="Arial" w:cs="Arial" w:eastAsia="Arial" w:hAnsi="Arial"/>
                <w:sz w:val="15"/>
                <w:szCs w:val="15"/>
                <w:b w:val="1"/>
                <w:bCs w:val="1"/>
                <w:color w:val="auto"/>
                <w:w w:val="90"/>
              </w:rPr>
              <w:t>Name of Exchange on which registered</w:t>
            </w:r>
          </w:p>
        </w:tc>
      </w:tr>
      <w:tr>
        <w:trPr>
          <w:trHeight w:val="192"/>
        </w:trPr>
        <w:tc>
          <w:tcPr>
            <w:tcW w:w="3340" w:type="dxa"/>
            <w:vAlign w:val="bottom"/>
          </w:tcPr>
          <w:p>
            <w:pPr>
              <w:jc w:val="center"/>
              <w:ind w:left="324"/>
              <w:spacing w:after="0"/>
              <w:rPr>
                <w:sz w:val="20"/>
                <w:szCs w:val="20"/>
                <w:color w:val="auto"/>
              </w:rPr>
            </w:pPr>
            <w:r>
              <w:rPr>
                <w:rFonts w:ascii="Arial" w:cs="Arial" w:eastAsia="Arial" w:hAnsi="Arial"/>
                <w:sz w:val="15"/>
                <w:szCs w:val="15"/>
                <w:color w:val="auto"/>
                <w:w w:val="91"/>
              </w:rPr>
              <w:t>Common Stock, par value $.01 per share</w:t>
            </w:r>
          </w:p>
        </w:tc>
        <w:tc>
          <w:tcPr>
            <w:tcW w:w="3900" w:type="dxa"/>
            <w:vAlign w:val="bottom"/>
          </w:tcPr>
          <w:p>
            <w:pPr>
              <w:jc w:val="center"/>
              <w:ind w:left="564"/>
              <w:spacing w:after="0"/>
              <w:rPr>
                <w:sz w:val="20"/>
                <w:szCs w:val="20"/>
                <w:color w:val="auto"/>
              </w:rPr>
            </w:pPr>
            <w:r>
              <w:rPr>
                <w:rFonts w:ascii="Arial" w:cs="Arial" w:eastAsia="Arial" w:hAnsi="Arial"/>
                <w:sz w:val="15"/>
                <w:szCs w:val="15"/>
                <w:color w:val="auto"/>
                <w:w w:val="99"/>
              </w:rPr>
              <w:t>WAB</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Pr>
          <w:p>
            <w:pPr>
              <w:jc w:val="center"/>
              <w:ind w:right="224"/>
              <w:spacing w:after="0"/>
              <w:rPr>
                <w:sz w:val="20"/>
                <w:szCs w:val="20"/>
                <w:color w:val="auto"/>
              </w:rPr>
            </w:pPr>
            <w:r>
              <w:rPr>
                <w:rFonts w:ascii="Arial" w:cs="Arial" w:eastAsia="Arial" w:hAnsi="Arial"/>
                <w:sz w:val="15"/>
                <w:szCs w:val="15"/>
                <w:color w:val="auto"/>
                <w:w w:val="93"/>
              </w:rPr>
              <w:t>New York Stock Exchange</w:t>
            </w:r>
          </w:p>
        </w:tc>
      </w:tr>
      <w:tr>
        <w:trPr>
          <w:trHeight w:val="297"/>
        </w:trPr>
        <w:tc>
          <w:tcPr>
            <w:tcW w:w="3340" w:type="dxa"/>
            <w:vAlign w:val="bottom"/>
          </w:tcPr>
          <w:p>
            <w:pPr>
              <w:spacing w:after="0"/>
              <w:rPr>
                <w:sz w:val="24"/>
                <w:szCs w:val="24"/>
                <w:color w:val="auto"/>
              </w:rPr>
            </w:pPr>
          </w:p>
        </w:tc>
        <w:tc>
          <w:tcPr>
            <w:tcW w:w="4460" w:type="dxa"/>
            <w:vAlign w:val="bottom"/>
            <w:gridSpan w:val="3"/>
          </w:tcPr>
          <w:p>
            <w:pPr>
              <w:jc w:val="center"/>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3440" w:type="dxa"/>
            <w:vAlign w:val="bottom"/>
          </w:tcPr>
          <w:p>
            <w:pPr>
              <w:spacing w:after="0"/>
              <w:rPr>
                <w:sz w:val="24"/>
                <w:szCs w:val="24"/>
                <w:color w:val="auto"/>
              </w:rPr>
            </w:pPr>
          </w:p>
        </w:tc>
      </w:tr>
      <w:tr>
        <w:trPr>
          <w:trHeight w:val="235"/>
        </w:trPr>
        <w:tc>
          <w:tcPr>
            <w:tcW w:w="7240" w:type="dxa"/>
            <w:vAlign w:val="bottom"/>
            <w:gridSpan w:val="2"/>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Arial" w:cs="Arial" w:eastAsia="Arial" w:hAnsi="Arial"/>
                <w:sz w:val="15"/>
                <w:szCs w:val="15"/>
                <w:color w:val="auto"/>
                <w:w w:val="77"/>
              </w:rPr>
              <w:t>Yes</w:t>
            </w:r>
          </w:p>
        </w:tc>
        <w:tc>
          <w:tcPr>
            <w:tcW w:w="240" w:type="dxa"/>
            <w:vAlign w:val="bottom"/>
          </w:tcPr>
          <w:p>
            <w:pPr>
              <w:ind w:left="80"/>
              <w:spacing w:after="0" w:line="151" w:lineRule="exact"/>
              <w:rPr>
                <w:sz w:val="20"/>
                <w:szCs w:val="20"/>
                <w:color w:val="auto"/>
              </w:rPr>
            </w:pPr>
            <w:r>
              <w:rPr>
                <w:rFonts w:ascii="MS PGothic" w:cs="MS PGothic" w:eastAsia="MS PGothic" w:hAnsi="MS PGothic"/>
                <w:sz w:val="15"/>
                <w:szCs w:val="15"/>
                <w:color w:val="auto"/>
                <w:w w:val="93"/>
              </w:rPr>
              <w:t>☒</w:t>
            </w:r>
          </w:p>
        </w:tc>
        <w:tc>
          <w:tcPr>
            <w:tcW w:w="344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tc>
      </w:tr>
      <w:tr>
        <w:trPr>
          <w:trHeight w:val="240"/>
        </w:trPr>
        <w:tc>
          <w:tcPr>
            <w:tcW w:w="7240" w:type="dxa"/>
            <w:vAlign w:val="bottom"/>
            <w:gridSpan w:val="2"/>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32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240" w:type="dxa"/>
            <w:vAlign w:val="bottom"/>
          </w:tcPr>
          <w:p>
            <w:pPr>
              <w:spacing w:after="0"/>
              <w:rPr>
                <w:sz w:val="20"/>
                <w:szCs w:val="20"/>
                <w:color w:val="auto"/>
              </w:rPr>
            </w:pPr>
            <w:r>
              <w:rPr>
                <w:rFonts w:ascii="Arial" w:cs="Arial" w:eastAsia="Arial" w:hAnsi="Arial"/>
                <w:sz w:val="15"/>
                <w:szCs w:val="15"/>
                <w:color w:val="auto"/>
              </w:rPr>
              <w:t>No</w:t>
            </w:r>
          </w:p>
        </w:tc>
        <w:tc>
          <w:tcPr>
            <w:tcW w:w="344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4855845</wp:posOffset>
            </wp:positionH>
            <wp:positionV relativeFrom="paragraph">
              <wp:posOffset>-259080</wp:posOffset>
            </wp:positionV>
            <wp:extent cx="73660" cy="74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ind w:right="3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20" w:lineRule="exact"/>
        <w:rPr>
          <w:sz w:val="24"/>
          <w:szCs w:val="24"/>
          <w:color w:val="auto"/>
        </w:rPr>
      </w:pPr>
    </w:p>
    <w:p>
      <w:pPr>
        <w:ind w:right="36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9" w:right="339" w:bottom="1440" w:gutter="0" w:footer="0" w:header="0"/>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6">
            <w:col w:w="1660" w:space="720"/>
            <w:col w:w="80" w:space="340"/>
            <w:col w:w="1560" w:space="720"/>
            <w:col w:w="140" w:space="320"/>
            <w:col w:w="1280" w:space="540"/>
            <w:col w:w="3880"/>
          </w:cols>
          <w:pgMar w:left="320" w:top="989" w:right="339" w:bottom="1440" w:gutter="0" w:footer="0" w:header="0"/>
          <w:type w:val="continuous"/>
        </w:sectPr>
      </w:pPr>
    </w:p>
    <w:p>
      <w:pPr>
        <w:spacing w:after="0" w:line="43" w:lineRule="exact"/>
        <w:rPr>
          <w:sz w:val="24"/>
          <w:szCs w:val="24"/>
          <w:color w:val="auto"/>
        </w:rPr>
      </w:pPr>
    </w:p>
    <w:p>
      <w:pPr>
        <w:ind w:left="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0"/>
          <w:szCs w:val="20"/>
          <w:color w:val="auto"/>
        </w:rPr>
      </w:pPr>
      <w:r>
        <w:rPr>
          <w:rFonts w:ascii="MS PGothic" w:cs="MS PGothic" w:eastAsia="MS PGothic" w:hAnsi="MS PGothic"/>
          <w:sz w:val="14"/>
          <w:szCs w:val="14"/>
          <w:color w:val="auto"/>
        </w:rPr>
        <w:t>☐</w:t>
      </w:r>
    </w:p>
    <w:p>
      <w:pPr>
        <w:spacing w:after="0" w:line="186" w:lineRule="exact"/>
        <w:rPr>
          <w:sz w:val="24"/>
          <w:szCs w:val="24"/>
          <w:color w:val="auto"/>
        </w:rPr>
      </w:pPr>
    </w:p>
    <w:p>
      <w:pPr>
        <w:sectPr>
          <w:pgSz w:w="11900" w:h="16838" w:orient="portrait"/>
          <w:cols w:equalWidth="0" w:num="4">
            <w:col w:w="1700" w:space="680"/>
            <w:col w:w="140" w:space="280"/>
            <w:col w:w="1660" w:space="620"/>
            <w:col w:w="6160"/>
          </w:cols>
          <w:pgMar w:left="320" w:top="989" w:right="339" w:bottom="1440" w:gutter="0" w:footer="0" w:header="0"/>
          <w:type w:val="continuous"/>
        </w:sect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76" w:lineRule="exact"/>
        <w:rPr>
          <w:sz w:val="24"/>
          <w:szCs w:val="24"/>
          <w:color w:val="auto"/>
        </w:rPr>
      </w:pPr>
    </w:p>
    <w:p>
      <w:pPr>
        <w:ind w:right="140"/>
        <w:spacing w:after="0" w:line="274" w:lineRule="auto"/>
        <w:rPr>
          <w:sz w:val="20"/>
          <w:szCs w:val="20"/>
          <w:color w:val="auto"/>
        </w:rPr>
      </w:pPr>
      <w:r>
        <w:rPr>
          <w:rFonts w:ascii="Arial" w:cs="Arial" w:eastAsia="Arial" w:hAnsi="Arial"/>
          <w:sz w:val="15"/>
          <w:szCs w:val="15"/>
          <w:color w:val="auto"/>
        </w:rPr>
        <w:t>The registrant estimates that as of June 30, 2020, the aggregate market value of the voting shares held by non-affiliates of the registrant was approximately $10.5 billion based on the closing price on the New York Stock Exchange for such stock.</w:t>
      </w:r>
    </w:p>
    <w:p>
      <w:pPr>
        <w:spacing w:after="0" w:line="1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As of February 12, 2021, 188,896,023 shares of Common Stock of the registrant were issued and outstanding.</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280" w:firstLine="486"/>
        <w:spacing w:after="0" w:line="257" w:lineRule="auto"/>
        <w:rPr>
          <w:sz w:val="20"/>
          <w:szCs w:val="20"/>
          <w:color w:val="auto"/>
        </w:rPr>
      </w:pPr>
      <w:r>
        <w:rPr>
          <w:rFonts w:ascii="Arial" w:cs="Arial" w:eastAsia="Arial" w:hAnsi="Arial"/>
          <w:sz w:val="16"/>
          <w:szCs w:val="16"/>
          <w:color w:val="auto"/>
        </w:rPr>
        <w:t>Portions of the Proxy Statement for the registrant’s Annual Meeting of Stockholders to be held on May 19,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60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567"/>
        </w:trPr>
        <w:tc>
          <w:tcPr>
            <w:tcW w:w="880" w:type="dxa"/>
            <w:vAlign w:val="bottom"/>
            <w:tcBorders>
              <w:bottom w:val="single" w:sz="8" w:color="CCEEFF"/>
            </w:tcBorders>
          </w:tcPr>
          <w:p>
            <w:pPr>
              <w:spacing w:after="0"/>
              <w:rPr>
                <w:sz w:val="24"/>
                <w:szCs w:val="24"/>
                <w:color w:val="auto"/>
              </w:rPr>
            </w:pPr>
          </w:p>
        </w:tc>
        <w:tc>
          <w:tcPr>
            <w:tcW w:w="9600" w:type="dxa"/>
            <w:vAlign w:val="bottom"/>
            <w:tcBorders>
              <w:bottom w:val="single" w:sz="8" w:color="CCEEFF"/>
            </w:tcBorders>
          </w:tcPr>
          <w:p>
            <w:pPr>
              <w:jc w:val="center"/>
              <w:ind w:left="90"/>
              <w:spacing w:after="0"/>
              <w:rPr>
                <w:sz w:val="20"/>
                <w:szCs w:val="20"/>
                <w:color w:val="auto"/>
              </w:rPr>
            </w:pPr>
            <w:r>
              <w:rPr>
                <w:rFonts w:ascii="Arial" w:cs="Arial" w:eastAsia="Arial" w:hAnsi="Arial"/>
                <w:sz w:val="18"/>
                <w:szCs w:val="18"/>
                <w:b w:val="1"/>
                <w:bCs w:val="1"/>
                <w:color w:val="auto"/>
                <w:w w:val="98"/>
              </w:rPr>
              <w:t>PART I</w:t>
            </w: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56"/>
        </w:trPr>
        <w:tc>
          <w:tcPr>
            <w:tcW w:w="880" w:type="dxa"/>
            <w:vAlign w:val="bottom"/>
            <w:shd w:val="clear" w:color="auto" w:fill="CCEEFF"/>
          </w:tcPr>
          <w:p>
            <w:pPr>
              <w:spacing w:after="0"/>
              <w:rPr>
                <w:sz w:val="13"/>
                <w:szCs w:val="13"/>
                <w:color w:val="auto"/>
              </w:rPr>
            </w:pPr>
          </w:p>
        </w:tc>
        <w:tc>
          <w:tcPr>
            <w:tcW w:w="9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w:t>
            </w:r>
          </w:p>
        </w:tc>
        <w:tc>
          <w:tcPr>
            <w:tcW w:w="96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7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Risk Factors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14</w:t>
              </w:r>
            </w:hyperlink>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1B.</w:t>
            </w:r>
          </w:p>
        </w:tc>
        <w:tc>
          <w:tcPr>
            <w:tcW w:w="9600" w:type="dxa"/>
            <w:vAlign w:val="bottom"/>
          </w:tcPr>
          <w:p>
            <w:pPr>
              <w:ind w:left="20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Unresolved Staff Comments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Properties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23</w:t>
              </w:r>
            </w:hyperlink>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3.</w:t>
            </w:r>
          </w:p>
        </w:tc>
        <w:tc>
          <w:tcPr>
            <w:tcW w:w="9600" w:type="dxa"/>
            <w:vAlign w:val="bottom"/>
          </w:tcPr>
          <w:p>
            <w:pPr>
              <w:ind w:left="2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Legal Proceedings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Mine Safety Disclosures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29"/>
        </w:trPr>
        <w:tc>
          <w:tcPr>
            <w:tcW w:w="880" w:type="dxa"/>
            <w:vAlign w:val="bottom"/>
          </w:tcPr>
          <w:p>
            <w:pPr>
              <w:spacing w:after="0"/>
              <w:rPr>
                <w:sz w:val="19"/>
                <w:szCs w:val="19"/>
                <w:color w:val="auto"/>
              </w:rPr>
            </w:pPr>
          </w:p>
        </w:tc>
        <w:tc>
          <w:tcPr>
            <w:tcW w:w="96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9600" w:type="dxa"/>
            <w:vAlign w:val="bottom"/>
            <w:shd w:val="clear" w:color="auto" w:fill="CCEEFF"/>
          </w:tcPr>
          <w:p>
            <w:pPr>
              <w:jc w:val="center"/>
              <w:ind w:left="90"/>
              <w:spacing w:after="0"/>
              <w:rPr>
                <w:sz w:val="20"/>
                <w:szCs w:val="20"/>
                <w:color w:val="auto"/>
              </w:rPr>
            </w:pPr>
            <w:r>
              <w:rPr>
                <w:rFonts w:ascii="Arial" w:cs="Arial" w:eastAsia="Arial" w:hAnsi="Arial"/>
                <w:sz w:val="18"/>
                <w:szCs w:val="18"/>
                <w:b w:val="1"/>
                <w:bCs w:val="1"/>
                <w:color w:val="auto"/>
              </w:rPr>
              <w:t>PART II</w:t>
            </w:r>
          </w:p>
        </w:tc>
        <w:tc>
          <w:tcPr>
            <w:tcW w:w="720" w:type="dxa"/>
            <w:vAlign w:val="bottom"/>
            <w:shd w:val="clear" w:color="auto" w:fill="CCEEFF"/>
          </w:tcPr>
          <w:p>
            <w:pPr>
              <w:spacing w:after="0"/>
              <w:rPr>
                <w:sz w:val="19"/>
                <w:szCs w:val="19"/>
                <w:color w:val="auto"/>
              </w:rPr>
            </w:pPr>
          </w:p>
        </w:tc>
      </w:tr>
      <w:tr>
        <w:trPr>
          <w:trHeight w:val="162"/>
        </w:trPr>
        <w:tc>
          <w:tcPr>
            <w:tcW w:w="88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6.</w:t>
            </w:r>
          </w:p>
        </w:tc>
        <w:tc>
          <w:tcPr>
            <w:tcW w:w="9600" w:type="dxa"/>
            <w:vAlign w:val="bottom"/>
          </w:tcPr>
          <w:p>
            <w:pPr>
              <w:ind w:left="2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Selected Financial Data</w:t>
              </w:r>
            </w:hyperlink>
          </w:p>
        </w:tc>
        <w:tc>
          <w:tcPr>
            <w:tcW w:w="7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7.</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7A.</w:t>
            </w:r>
          </w:p>
        </w:tc>
        <w:tc>
          <w:tcPr>
            <w:tcW w:w="9600" w:type="dxa"/>
            <w:vAlign w:val="bottom"/>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Quantitative and Qualitative Disclosures About Market Risk</w:t>
              </w:r>
            </w:hyperlink>
          </w:p>
        </w:tc>
        <w:tc>
          <w:tcPr>
            <w:tcW w:w="7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8.</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Financial Statements and Supplementary Data</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9.</w:t>
            </w:r>
          </w:p>
        </w:tc>
        <w:tc>
          <w:tcPr>
            <w:tcW w:w="9600" w:type="dxa"/>
            <w:vAlign w:val="bottom"/>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Changes in and Disagreements with Accountants on Accounting and Financial Disclosure</w:t>
              </w:r>
            </w:hyperlink>
          </w:p>
        </w:tc>
        <w:tc>
          <w:tcPr>
            <w:tcW w:w="7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9A.</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9B.</w:t>
            </w:r>
          </w:p>
        </w:tc>
        <w:tc>
          <w:tcPr>
            <w:tcW w:w="9600" w:type="dxa"/>
            <w:vAlign w:val="bottom"/>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Other Information</w:t>
              </w:r>
            </w:hyperlink>
          </w:p>
        </w:tc>
        <w:tc>
          <w:tcPr>
            <w:tcW w:w="7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30"/>
        </w:trPr>
        <w:tc>
          <w:tcPr>
            <w:tcW w:w="880" w:type="dxa"/>
            <w:vAlign w:val="bottom"/>
            <w:shd w:val="clear" w:color="auto" w:fill="CCEEFF"/>
          </w:tcPr>
          <w:p>
            <w:pPr>
              <w:spacing w:after="0"/>
              <w:rPr>
                <w:sz w:val="19"/>
                <w:szCs w:val="19"/>
                <w:color w:val="auto"/>
              </w:rPr>
            </w:pPr>
          </w:p>
        </w:tc>
        <w:tc>
          <w:tcPr>
            <w:tcW w:w="9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600" w:type="dxa"/>
            <w:vAlign w:val="bottom"/>
          </w:tcPr>
          <w:p>
            <w:pPr>
              <w:jc w:val="center"/>
              <w:ind w:left="70"/>
              <w:spacing w:after="0"/>
              <w:rPr>
                <w:sz w:val="20"/>
                <w:szCs w:val="20"/>
                <w:color w:val="auto"/>
              </w:rPr>
            </w:pPr>
            <w:r>
              <w:rPr>
                <w:rFonts w:ascii="Arial" w:cs="Arial" w:eastAsia="Arial" w:hAnsi="Arial"/>
                <w:sz w:val="18"/>
                <w:szCs w:val="18"/>
                <w:b w:val="1"/>
                <w:bCs w:val="1"/>
                <w:color w:val="auto"/>
              </w:rPr>
              <w:t>PART III</w:t>
            </w:r>
          </w:p>
        </w:tc>
        <w:tc>
          <w:tcPr>
            <w:tcW w:w="720" w:type="dxa"/>
            <w:vAlign w:val="bottom"/>
          </w:tcPr>
          <w:p>
            <w:pPr>
              <w:spacing w:after="0"/>
              <w:rPr>
                <w:sz w:val="19"/>
                <w:szCs w:val="19"/>
                <w:color w:val="auto"/>
              </w:rPr>
            </w:pPr>
          </w:p>
        </w:tc>
      </w:tr>
      <w:tr>
        <w:trPr>
          <w:trHeight w:val="162"/>
        </w:trPr>
        <w:tc>
          <w:tcPr>
            <w:tcW w:w="880" w:type="dxa"/>
            <w:vAlign w:val="bottom"/>
            <w:shd w:val="clear" w:color="auto" w:fill="CCEEFF"/>
          </w:tcPr>
          <w:p>
            <w:pPr>
              <w:spacing w:after="0"/>
              <w:rPr>
                <w:sz w:val="14"/>
                <w:szCs w:val="14"/>
                <w:color w:val="auto"/>
              </w:rPr>
            </w:pPr>
          </w:p>
        </w:tc>
        <w:tc>
          <w:tcPr>
            <w:tcW w:w="9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10.</w:t>
            </w:r>
          </w:p>
        </w:tc>
        <w:tc>
          <w:tcPr>
            <w:tcW w:w="9600" w:type="dxa"/>
            <w:vAlign w:val="bottom"/>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Directors, Executive Officers and Corporate Governance</w:t>
              </w:r>
            </w:hyperlink>
          </w:p>
        </w:tc>
        <w:tc>
          <w:tcPr>
            <w:tcW w:w="7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11.</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Executive Compensation</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12.</w:t>
            </w:r>
          </w:p>
        </w:tc>
        <w:tc>
          <w:tcPr>
            <w:tcW w:w="9600" w:type="dxa"/>
            <w:vAlign w:val="bottom"/>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Security Ownership of Certain Beneficial Owners and Management and Related Stockholder Matters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13.</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Certain Relationships and Related Transactions, and Director Independence</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14.</w:t>
            </w:r>
          </w:p>
        </w:tc>
        <w:tc>
          <w:tcPr>
            <w:tcW w:w="9600" w:type="dxa"/>
            <w:vAlign w:val="bottom"/>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Principal Accountant Fees and Services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29"/>
        </w:trPr>
        <w:tc>
          <w:tcPr>
            <w:tcW w:w="880" w:type="dxa"/>
            <w:vAlign w:val="bottom"/>
            <w:shd w:val="clear" w:color="auto" w:fill="CCEEFF"/>
          </w:tcPr>
          <w:p>
            <w:pPr>
              <w:spacing w:after="0"/>
              <w:rPr>
                <w:sz w:val="19"/>
                <w:szCs w:val="19"/>
                <w:color w:val="auto"/>
              </w:rPr>
            </w:pPr>
          </w:p>
        </w:tc>
        <w:tc>
          <w:tcPr>
            <w:tcW w:w="9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9600" w:type="dxa"/>
            <w:vAlign w:val="bottom"/>
          </w:tcPr>
          <w:p>
            <w:pPr>
              <w:jc w:val="center"/>
              <w:ind w:left="7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19"/>
                <w:szCs w:val="19"/>
                <w:color w:val="auto"/>
              </w:rPr>
            </w:pPr>
          </w:p>
        </w:tc>
      </w:tr>
      <w:tr>
        <w:trPr>
          <w:trHeight w:val="162"/>
        </w:trPr>
        <w:tc>
          <w:tcPr>
            <w:tcW w:w="880" w:type="dxa"/>
            <w:vAlign w:val="bottom"/>
            <w:shd w:val="clear" w:color="auto" w:fill="CCEEFF"/>
          </w:tcPr>
          <w:p>
            <w:pPr>
              <w:spacing w:after="0"/>
              <w:rPr>
                <w:sz w:val="14"/>
                <w:szCs w:val="14"/>
                <w:color w:val="auto"/>
              </w:rPr>
            </w:pPr>
          </w:p>
        </w:tc>
        <w:tc>
          <w:tcPr>
            <w:tcW w:w="9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15.</w:t>
            </w:r>
          </w:p>
        </w:tc>
        <w:tc>
          <w:tcPr>
            <w:tcW w:w="9600" w:type="dxa"/>
            <w:vAlign w:val="bottom"/>
          </w:tcPr>
          <w:p>
            <w:pPr>
              <w:ind w:left="2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Exhibits and Financial Statement Schedules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42</w:t>
              </w:r>
            </w:hyperlink>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16.</w:t>
            </w:r>
          </w:p>
        </w:tc>
        <w:tc>
          <w:tcPr>
            <w:tcW w:w="9600" w:type="dxa"/>
            <w:vAlign w:val="bottom"/>
            <w:shd w:val="clear" w:color="auto" w:fill="CCEEFF"/>
          </w:tcPr>
          <w:p>
            <w:pPr>
              <w:ind w:left="20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Form 10-K Summary</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Arial" w:cs="Arial" w:eastAsia="Arial" w:hAnsi="Arial"/>
          <w:sz w:val="18"/>
          <w:szCs w:val="18"/>
          <w:i w:val="1"/>
          <w:iCs w:val="1"/>
          <w:color w:val="auto"/>
        </w:rPr>
        <w:t>www.wabteccorp.com</w:t>
      </w:r>
      <w:r>
        <w:rPr>
          <w:rFonts w:ascii="Arial" w:cs="Arial" w:eastAsia="Arial" w:hAnsi="Arial"/>
          <w:sz w:val="18"/>
          <w:szCs w:val="18"/>
          <w:color w:val="auto"/>
        </w:rPr>
        <w:t>.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8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Throughout the years, the Company has made a number of strategic acquisitions leading the Company to where it is today. These have primarily included:</w:t>
      </w:r>
    </w:p>
    <w:p>
      <w:pPr>
        <w:spacing w:after="0" w:line="62" w:lineRule="exact"/>
        <w:rPr>
          <w:sz w:val="20"/>
          <w:szCs w:val="20"/>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1999 merger with MotivePower Industries, Inc. whereby the Company adopted its current name of Westinghouse Air Brake Technologies Corporation, or Wabtec;</w:t>
      </w:r>
    </w:p>
    <w:p>
      <w:pPr>
        <w:spacing w:after="0" w:line="62" w:lineRule="exact"/>
        <w:rPr>
          <w:rFonts w:ascii="Arial" w:cs="Arial" w:eastAsia="Arial" w:hAnsi="Arial"/>
          <w:sz w:val="18"/>
          <w:szCs w:val="18"/>
          <w:color w:val="auto"/>
        </w:rPr>
      </w:pPr>
    </w:p>
    <w:p>
      <w:pPr>
        <w:jc w:val="both"/>
        <w:ind w:left="660" w:right="4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40" w:lineRule="exact"/>
        <w:rPr>
          <w:rFonts w:ascii="Arial" w:cs="Arial" w:eastAsia="Arial" w:hAnsi="Arial"/>
          <w:sz w:val="16"/>
          <w:szCs w:val="16"/>
          <w:color w:val="auto"/>
        </w:rPr>
      </w:pPr>
    </w:p>
    <w:p>
      <w:pPr>
        <w:ind w:left="660" w:right="10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2019 acquisition of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16"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As a result of several strategic acquisitions, as well as other smaller acquisitions, and organic growth, Wabtec is now one of the world’s largest providers of locomotives, value-added, technology-based equipment, systems and services for the global freight rail and passenger transit industries with approximately 27,000 employees and operations in over 50 countries. We believe we hold a leading market share for many of our core product lines globally. Our highly engineered products, which are intended to enhance safety, improve productivity, and reduce maintenance costs for customers, can be found on most locomotives, freight cars, passenger transit cars and buses around the world.</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Through both internal growth as well as acquisitions, Wabtec has positioned itself with the following strategic benefits:</w:t>
      </w:r>
    </w:p>
    <w:p>
      <w:pPr>
        <w:spacing w:after="0" w:line="104" w:lineRule="exact"/>
        <w:rPr>
          <w:sz w:val="20"/>
          <w:szCs w:val="20"/>
          <w:color w:val="auto"/>
        </w:rPr>
      </w:pPr>
    </w:p>
    <w:p>
      <w:pPr>
        <w:ind w:left="660" w:right="1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Increased diversity of revenues by product, geography and market. </w:t>
      </w:r>
      <w:r>
        <w:rPr>
          <w:rFonts w:ascii="Arial" w:cs="Arial" w:eastAsia="Arial" w:hAnsi="Arial"/>
          <w:sz w:val="18"/>
          <w:szCs w:val="18"/>
          <w:color w:val="auto"/>
        </w:rPr>
        <w:t>Comprehensive product offerings spanning the freight rail and passenger</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industries, as well as products in the bus, mining and marine, and discrete industrial markets help Wabtec to balance the cyclical nature of the global rail business.</w:t>
      </w:r>
    </w:p>
    <w:p>
      <w:pPr>
        <w:spacing w:after="0" w:line="75"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Significant Operating Synergies and Improved Financial Profile</w:t>
      </w:r>
      <w:r>
        <w:rPr>
          <w:rFonts w:ascii="Arial" w:cs="Arial" w:eastAsia="Arial" w:hAnsi="Arial"/>
          <w:sz w:val="17"/>
          <w:szCs w:val="17"/>
          <w:color w:val="auto"/>
        </w:rPr>
        <w:t>. The consummation of the GE Transportation acquisition is leading to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synergies across all of Wabtec. As a result, we expect to generate approximately $250 million in annual run-rate operating synergies, driven by cost and revenue opportunities, before 2022. This will enhance Wabtec’s margins and revenue growth opportunities with strong free cash flow generation to enable strategic deleveraging through debt reduction and earnings growth.</w:t>
      </w:r>
    </w:p>
    <w:p>
      <w:pPr>
        <w:spacing w:after="0" w:line="63"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Increased technical and engineering expertise. </w:t>
      </w:r>
      <w:r>
        <w:rPr>
          <w:rFonts w:ascii="Arial" w:cs="Arial" w:eastAsia="Arial" w:hAnsi="Arial"/>
          <w:sz w:val="18"/>
          <w:szCs w:val="18"/>
          <w:color w:val="auto"/>
        </w:rPr>
        <w:t>Particularly with the onboarding of Faiveley Transport and GE Transportation, Wabtec's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and product development efforts are strengthened.</w:t>
      </w:r>
    </w:p>
    <w:p>
      <w:pPr>
        <w:spacing w:after="0" w:line="62"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Increased Scale and Diversification of Wabtec’s Freight Product Portfolio</w:t>
      </w:r>
      <w:r>
        <w:rPr>
          <w:rFonts w:ascii="Arial" w:cs="Arial" w:eastAsia="Arial" w:hAnsi="Arial"/>
          <w:sz w:val="17"/>
          <w:szCs w:val="17"/>
          <w:color w:val="auto"/>
        </w:rPr>
        <w:t>. Wabtec is now one of the world’s largest providers of locomotives,</w:t>
      </w:r>
      <w:r>
        <w:rPr>
          <w:rFonts w:ascii="Arial" w:cs="Arial" w:eastAsia="Arial" w:hAnsi="Arial"/>
          <w:sz w:val="17"/>
          <w:szCs w:val="17"/>
          <w:i w:val="1"/>
          <w:iCs w:val="1"/>
          <w:color w:val="auto"/>
        </w:rPr>
        <w:t xml:space="preserve"> </w:t>
      </w:r>
      <w:r>
        <w:rPr>
          <w:rFonts w:ascii="Arial" w:cs="Arial" w:eastAsia="Arial" w:hAnsi="Arial"/>
          <w:sz w:val="17"/>
          <w:szCs w:val="17"/>
          <w:color w:val="auto"/>
        </w:rPr>
        <w:t>freight car components, technology-enabled equipment, systems and services for the locomotive and freight rail industries.</w:t>
      </w:r>
    </w:p>
    <w:p>
      <w:pPr>
        <w:spacing w:after="0" w:line="38"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Broadened product line and international presence in the transit market. </w:t>
      </w:r>
      <w:r>
        <w:rPr>
          <w:rFonts w:ascii="Arial" w:cs="Arial" w:eastAsia="Arial" w:hAnsi="Arial"/>
          <w:sz w:val="18"/>
          <w:szCs w:val="18"/>
          <w:color w:val="auto"/>
        </w:rPr>
        <w:t>Wabtec now offers a comprehensive, broad and diversified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the transit rail industries throughout the world.</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Complementary Digital and Electronics Technologies</w:t>
      </w:r>
      <w:r>
        <w:rPr>
          <w:rFonts w:ascii="Arial" w:cs="Arial" w:eastAsia="Arial" w:hAnsi="Arial"/>
          <w:sz w:val="16"/>
          <w:szCs w:val="16"/>
          <w:color w:val="auto"/>
        </w:rPr>
        <w:t>. Wabtec now has a comprehensive digital portfolio and leading engineering and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which provides electronics and digital technologies to meet growing demand for train intelligence and network optimization.</w:t>
      </w:r>
    </w:p>
    <w:p>
      <w:pPr>
        <w:spacing w:after="0" w:line="15" w:lineRule="exact"/>
        <w:rPr>
          <w:rFonts w:ascii="Arial" w:cs="Arial" w:eastAsia="Arial" w:hAnsi="Arial"/>
          <w:sz w:val="16"/>
          <w:szCs w:val="16"/>
          <w:color w:val="auto"/>
        </w:rPr>
      </w:pPr>
    </w:p>
    <w:p>
      <w:pPr>
        <w:ind w:left="660" w:right="10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Enhanced Aftermarket and Services Opportunities</w:t>
      </w:r>
      <w:r>
        <w:rPr>
          <w:rFonts w:ascii="Arial" w:cs="Arial" w:eastAsia="Arial" w:hAnsi="Arial"/>
          <w:sz w:val="16"/>
          <w:szCs w:val="16"/>
          <w:color w:val="auto"/>
        </w:rPr>
        <w:t>. Wabtec has an installed base of more than 22,500 locomotives and content on virtually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North American locomotives and freight cars, as well as a diverse offering of Transit locomotives and cars both internationally and domestically, which enables significant opportunities in the higher-margin aftermarket parts and services business and mitigates the exposure to cycles.</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freight rail and passenger transit.</w:t>
      </w:r>
    </w:p>
    <w:p>
      <w:pPr>
        <w:spacing w:after="0" w:line="5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According to the 2020 bi-annual edition of a market study by UNIFE, the Association of the European Rail Industry, the accessible global market for railway products and services is more than $120 billion and is expected to grow at a compounded annual growth rate of 2.3% through 2025. As the long-term effects of COVID-19 are still uncertain, UNIFE included a second, less likely scenario in which the recovery is more moderate. This alternative scenario shows a compounded annual growth rate of 0.9% through 2025 for the total accessible market. The three largest geographic markets, which represented about 85% of the total accessible market, were Europe, North America and Asia Pacific. UNIFE projected above-average growth rates in Latin America, Eastern Europe, North America, and Africa/Middle East, with the more mature markets of Western Europe, North America, and Asia Pacific accounting for the largest share of absolute growth. UNIFE said trends such as urbanization, digitalization, legislative action and government support, and an increased focus on energy and environmental issues continue to drive investment. The largest product segments of the market were rolling stock, services and infrastructure, which represent almost 90% of the accessible market. UNIFE projected spending growth in all product segments, with turnkey management projects, rolling stock, and infrastructure to grow fastest. UNIFE estimated that the global installed base of diesel and electric locomotives was about 118,200 units, with about 32% in Asia Pacific, about 25% in North America and about 18% in Russia-CIS (Commonwealth of Independent States). Wabtec estimates that about 3,000 new locomotives were delivered worldwide in 2020. UNIFE estimated the global installed base of freight cars was about 5.2 million, with about 35% in North America, about 24% in Russia-CIS, and about 24% in Asia Pacific. Wabtec estimates that about 155,000 new freight cars were delivered worldwide in 2020. UNIFE estimated the global installed base of passenger transit vehicles to be about 620,000 units, with about 45% in Asia Pacific, about 31% in Europe and about 10% in Russia-CIS. Wabtec estimates that about 32,000 new passenger transit vehicles were ordered worldwide in 2020.</w:t>
      </w:r>
    </w:p>
    <w:p>
      <w:pPr>
        <w:spacing w:after="0" w:line="7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policies encourage continued investment in public mass transit, and modal shift from car to rail, although this growth may be stunted in the near-term as a result of the COVID-19 pandemic. According to UNIFE, Germany, France, and the United Kingdom were the largest Western European transit markets, representing about two-thirds of industry spending in the European Union. UNIFE projected the accessible Western European rail market to grow at about 2.0% annually, led by investments in new rolling stock in France and Germany. About 75% of freight traffic in Europe is hauled by truck, while rail accounts for about 19%.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7"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600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1"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Growth in the Asia Pacific market has been driven mainly by the continued urbanization of China and India, and by continued investments in freight rail rolling stock and infrastructure in Australia to serve its mining and natural resources markets. India is making significant investments in rolling stock and infrastructure to modernize its rail system; for example, Wabtec is delivering on a 1,000-unit locomotive contract with Indian Railways.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right="40" w:firstLine="486"/>
        <w:spacing w:after="0" w:line="293" w:lineRule="auto"/>
        <w:rPr>
          <w:sz w:val="20"/>
          <w:szCs w:val="20"/>
          <w:color w:val="auto"/>
        </w:rPr>
      </w:pPr>
      <w:r>
        <w:rPr>
          <w:rFonts w:ascii="Arial" w:cs="Arial" w:eastAsia="Arial" w:hAnsi="Arial"/>
          <w:sz w:val="16"/>
          <w:szCs w:val="16"/>
          <w:color w:val="auto"/>
        </w:rPr>
        <w:t>Other key geographic markets include Russia-CIS and Africa-Middle East. With about 1.3 million freight cars and about 21,000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most emerging markets were expected to grow at above-average rates as global trade led to increased freight volumes and urbanization led to increased demand for efficient mass-transportation systems. It is still uncertain as to how the COVID-19 pandemic will impact the expected growth in these emerging markets, especially in the near-term. As this growth occurs, Wabtec expects to have additional opportunities to provide products and services in these markets.</w:t>
      </w:r>
    </w:p>
    <w:p>
      <w:pPr>
        <w:spacing w:after="0" w:line="56"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In its study, UNIFE also said it expected increased investment in digitalization, automation, and predictive maintenance through artificial intelligence, all of which would improve efficiency in the global rail industry. UNIFE expects these trends to increase the overall attractiveness of the rail sector as these trends are expected to lead to significant cost savings, allowing rail to be more competitive in comparison to other modes of transportation. Wabtec offers products and services to help customers make ongoing investments in these initiatives.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provide our products and services through two principal business segments, the Freight Segment and the Transit Segment, both of which have different market characteristics and business drivers. The Freight Segment primarily manufactures and provides aftermarket parts and services for new locomotives; provides components for new and existing locomotives and freight cars; builds new commuter locomotives; supplies rail control and infrastructure products including electronics, positive train control equipment, signal design and engineering services; provides a comprehensive suite of software-enabled solutions designed to improve customer efficiency and productivity in the transportation and mining industries; overhauls locomotives; and provides heat exchangers and cooling systems for rail and other industrial markets. Customers include large, publicly traded railroads, leasing companies, manufacturers of original equipment such as locomotives and freight cars, and utilities. We are the largest global manufacturer of diesel-electric locomotives for freight railroads producing mission-critical products and solutions that help railroads reduce operating costs, decrease fuel use, minimize downtime and comply with emissions standards. As a result of the large base of approximately 22,500 locomotives currently in use, Wabtec's services product lines of rebuilding, remanufacturing, maintaining, and exchanging locomotives and components in the aftermarkets provides a significant, recurring revenue stream. In 2020, the Freight Segment accounted for approximately 67% of Wabtec’s total net sales, with about 55% of its net sales in the U.S. In 2020, about 63% of the Freight Segment’s net sales were in the aftermarket.</w:t>
      </w:r>
    </w:p>
    <w:p>
      <w:pPr>
        <w:spacing w:after="0" w:line="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Transit Segment primarily manufactures and services components for new and existing passenger transit vehicles, typically regional trains, high speed trains, subway cars, light-rail vehicles and buses; supplies rail control and infrastructure products including electronics, signal design and engineering services; and refurbishes passenger transit vehicles. Customers include public transit authorities and municipalities, leasing companies, and manufacturers of passenger transit vehicles and buses around the world. In 2020, the Transit Segment accounted for approximately 33% of our total net sales, with about 15% of its net sales in the U.S. Approximately half of the Transit Segment’s net sales are in the aftermarket with the remainder in the original equipment market. Geographically, Faiveley Transport significantly strengthened Wabtec’s presence in the European and Asia Pacific transit markets.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 is a summary of our leading products in both aftermarket and original equipment across both of our business segments in 2020:</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Equipment:</w:t>
      </w:r>
    </w:p>
    <w:p>
      <w:pPr>
        <w:spacing w:after="0" w:line="11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Diesel-electric locomotives for freight railroads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Engines, electric motors and premium propulsion systems used in locomotives, mining, marine, stationary power and drilling applications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Marine and mining products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Digital &amp; Electronic Products:</w:t>
      </w:r>
    </w:p>
    <w:p>
      <w:pPr>
        <w:spacing w:after="0" w:line="117" w:lineRule="exact"/>
        <w:rPr>
          <w:sz w:val="20"/>
          <w:szCs w:val="20"/>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Train Control equipment and electronically controlled pneumatic braking products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Railway electronics, including event recorders, monitoring equipment and end of train devices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Signal design and engineering services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 performance such as distributed locomotive power, train 'cruise control', and train remote control</w:t>
      </w:r>
    </w:p>
    <w:p>
      <w:pPr>
        <w:spacing w:after="0" w:line="117" w:lineRule="exact"/>
        <w:rPr>
          <w:rFonts w:ascii="Arial" w:cs="Arial" w:eastAsia="Arial" w:hAnsi="Arial"/>
          <w:sz w:val="18"/>
          <w:szCs w:val="18"/>
          <w:color w:val="auto"/>
        </w:rPr>
      </w:pPr>
    </w:p>
    <w:p>
      <w:pPr>
        <w:ind w:left="620" w:right="18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 intelligence such as Industrial/mobile Internet of Things (IoT) hardware &amp; software, edge-to-cloud, on and off-board analytics &amp; rules, asset performance management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 logistics such as rail transportation management, shipper transportation management, port visibility and optimization</w:t>
      </w:r>
    </w:p>
    <w:p>
      <w:pPr>
        <w:spacing w:after="0" w:line="117" w:lineRule="exact"/>
        <w:rPr>
          <w:rFonts w:ascii="Arial" w:cs="Arial" w:eastAsia="Arial" w:hAnsi="Arial"/>
          <w:sz w:val="18"/>
          <w:szCs w:val="18"/>
          <w:color w:val="auto"/>
        </w:rPr>
      </w:pPr>
    </w:p>
    <w:p>
      <w:pPr>
        <w:ind w:left="620" w:right="220" w:hanging="329"/>
        <w:spacing w:after="0" w:line="27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Network optimization such as rail network scheduling, dispatch, and optimization, intermodal, terminal management and optimization, rail yard management and optimization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Components:</w:t>
      </w:r>
    </w:p>
    <w:p>
      <w:pPr>
        <w:spacing w:after="0" w:line="11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Freight car trucks and braking equipment and related components for Freight applications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Draft gears, couplers and slack adjusters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Air compressors and dryers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Heat exchangers and cooling products for locomotives and power generation equipment</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Track and switch products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commuter and switcher locomotives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11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Freight locomotive overhaul and refurbishment</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Master service agreements for locomotive and car maintenance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Transit locomotive and car overhaul</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 exchange of locomotive components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Transit Products:</w:t>
      </w:r>
    </w:p>
    <w:p>
      <w:pPr>
        <w:spacing w:after="0" w:line="117" w:lineRule="exact"/>
        <w:rPr>
          <w:sz w:val="20"/>
          <w:szCs w:val="20"/>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Railway braking equipment and related components for Transit applications, including high-speed passenger transit vehicles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Friction products, including brake shoes, discs and pads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Heating, ventilation and air conditioning equipment</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Doors for buses and subway cars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Platform screen doors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Pantographs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Window assemblies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Couplers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Accessibility lifts and ramps for buses and subway cars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Traction motors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have become a leader in the freight rail and passenger transit industries by capitalizing on the strength of our existing products, technological capabilities and new product innovations, and by our ability to harden products to protect them from severe conditions, including extreme temperatures and high-vibration environments. Supported by our technical staff of more than 5,000 engineers and specialists, we have extensive experience in a broad range of product lines, which enables us to provide comprehensive, systems-based solutions for our customers.</w:t>
      </w:r>
    </w:p>
    <w:p>
      <w:pPr>
        <w:spacing w:after="0" w:line="6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recent years, we have introduced a number of significant new products, including Positive Train Control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Other new products include HVAC inverter integrated solutions, brake discs and brake controls, platform doors and gates, and door controllers. In addition, we are continuing to develop Energy Management Solutions for railroads to further reduce fuel consumption and emissions. These developments include the design of a battery electric locomotive that will be integrated with other diesel electric locomotives in a train. This hybrid consist, under the control of our Trip Optimizer software, will significantly reduce fuel consumption as well as having the ability to operate in a low emission state while in populated areas. We are also considering development of locomotives for transit services to operate in a zero emissions environment (such as a tunnel) for extended periods of time.</w:t>
      </w:r>
    </w:p>
    <w:p>
      <w:pPr>
        <w:spacing w:after="0" w:line="5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For additional information on our business segments, see Note 20 of “Notes to Consolidated Financial Statements” included in Part IV, Item 15 of this report.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key strengths include:</w:t>
      </w:r>
    </w:p>
    <w:p>
      <w:pPr>
        <w:spacing w:after="0" w:line="113" w:lineRule="exact"/>
        <w:rPr>
          <w:sz w:val="20"/>
          <w:szCs w:val="20"/>
          <w:color w:val="auto"/>
        </w:rPr>
      </w:pPr>
    </w:p>
    <w:p>
      <w:pPr>
        <w:ind w:left="620" w:hanging="329"/>
        <w:spacing w:after="0" w:line="269"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Iconic Legacy and Strong Reputation with a History of over 150 Years of Innovation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rail industry has been in operation for over 150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we have been at the forefront of shaping and transforming the rail landscape through various innovations and technologies. Dating back to 1869 and George Westinghouse’s invention of the air brake, we are an established leader in the rail industry for freight and passenger transit vehicles. For over 110 years, GE Transportation has served the worldwide rail industry, which is a critical component of the global transportation system and the global economy, with an installed base of more than 22,500 locomotives worldwide. Faiveley Transport, founded in 1919, has a long history and is a market leader for its core products, including pantographs, automatic door mechanisms and air conditioning systems. We have leveraged our leading positions by focusing on research and engineering to expand beyond pneumatic braking components to supplying integrated parts and assemblies from a full locomotive through the end of the train. We are a recognized leader in the development and production of electronic recording, measuring and communications systems, positive train control equipment, highly engineered compressors and heat exchangers for locomotives, and a leading manufacturer of freight car components, including electronic braking equipment, draft gears, trucks, brake shoes and electronic end-of-train devices. We are also a leading provider of braking equipment; heating, ventilation and air conditioning equipment; door assemblies and platform screen doors; lifts and ramps; couplers and current collection equipment, such as pantographs, for passenger transit vehicles.</w:t>
      </w:r>
    </w:p>
    <w:p>
      <w:pPr>
        <w:spacing w:after="0" w:line="67" w:lineRule="exact"/>
        <w:rPr>
          <w:rFonts w:ascii="Arial" w:cs="Arial" w:eastAsia="Arial" w:hAnsi="Arial"/>
          <w:sz w:val="17"/>
          <w:szCs w:val="17"/>
          <w:color w:val="auto"/>
        </w:rPr>
      </w:pPr>
    </w:p>
    <w:p>
      <w:pPr>
        <w:ind w:left="620" w:right="20" w:hanging="329"/>
        <w:spacing w:after="0" w:line="272"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Breadth of product offering with a stable mix of original equipment market (OEM) and aftermarket 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 portfolio is one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broadest in the rail industry, as we offer a wide selection of quality parts, components and assemblies across the entire train and worldwide.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from the original equipment components supplier. In addition, as OEMs and railroad operators attempt to modernize fleets with new products designed to improve and maintain safety and efficiency, these products must be designed to be interoperable with existing equipment. In 2020, net sales of aftermarket parts and services represented about 60% of total net sales.</w:t>
      </w:r>
    </w:p>
    <w:p>
      <w:pPr>
        <w:spacing w:after="0" w:line="67" w:lineRule="exact"/>
        <w:rPr>
          <w:rFonts w:ascii="Arial" w:cs="Arial" w:eastAsia="Arial" w:hAnsi="Arial"/>
          <w:sz w:val="17"/>
          <w:szCs w:val="17"/>
          <w:color w:val="auto"/>
        </w:rPr>
      </w:pPr>
    </w:p>
    <w:p>
      <w:pPr>
        <w:ind w:left="620" w:right="200" w:hanging="329"/>
        <w:spacing w:after="0" w:line="259"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 with Longstanding Customer Partnerships in a Critical Infrastructure Sector. </w:t>
      </w:r>
      <w:r>
        <w:rPr>
          <w:rFonts w:ascii="Arial" w:cs="Arial" w:eastAsia="Arial" w:hAnsi="Arial"/>
          <w:sz w:val="18"/>
          <w:szCs w:val="18"/>
          <w:color w:val="auto"/>
        </w:rPr>
        <w:t>For more than a century, rail has been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cornerstone of the global transportation system, and thus, the economy. Rail remains one of the most cost-effective, energy-efficient modes of transport, both domestically and internationally. As the largest global producer of diesel-electric locomotives, we have a significant market share both in North America and globally.</w:t>
      </w:r>
    </w:p>
    <w:p>
      <w:pPr>
        <w:spacing w:after="0" w:line="74" w:lineRule="exact"/>
        <w:rPr>
          <w:rFonts w:ascii="Arial" w:cs="Arial" w:eastAsia="Arial" w:hAnsi="Arial"/>
          <w:sz w:val="18"/>
          <w:szCs w:val="18"/>
          <w:color w:val="auto"/>
        </w:rPr>
      </w:pPr>
    </w:p>
    <w:p>
      <w:pPr>
        <w:ind w:left="620" w:right="60" w:hanging="329"/>
        <w:spacing w:after="0" w:line="289" w:lineRule="auto"/>
        <w:tabs>
          <w:tab w:leader="none" w:pos="61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design and engineering capabilities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 hallmark of our relationship with our customers has been our leading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practice, which has assisted in the improvement and modernization of global railway equipment. We believe both our customers and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The Company designs, develops and manufactures critical components and systems for the rail, mining and marine industries, which include proprietary propulsion systems, engine platforms and controls technology. These innovative and differentiated solutions serve as the building blocks for the rail, mining and marine industries, and help keep our global customers at the forefront of advancing technologies. When coupled with our advanced digital analytic capabilities, our solutions help drive increased energy management, performance and reliability to our products. To that end, we have assembled a wide range of patented products, which we believe provides us with a competitive advantage.</w:t>
      </w:r>
    </w:p>
    <w:p>
      <w:pPr>
        <w:spacing w:after="0" w:line="58" w:lineRule="exact"/>
        <w:rPr>
          <w:rFonts w:ascii="Arial" w:cs="Arial" w:eastAsia="Arial" w:hAnsi="Arial"/>
          <w:sz w:val="16"/>
          <w:szCs w:val="16"/>
          <w:color w:val="auto"/>
        </w:rPr>
      </w:pPr>
    </w:p>
    <w:p>
      <w:pPr>
        <w:ind w:left="620" w:right="280" w:hanging="329"/>
        <w:spacing w:after="0" w:line="258"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Leading the Digital Transformation of Wabtec’s Industries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early investment in data analytics and software has allowed us to become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 for customers looking to derive new value from assets and digitally transform their operations. Through these initiatives, the transportation industry, from mine to port, from shipper to receiver, from port to intermodal terminals to main line locomotives and railcars and across train yards and operation centers, has evolved to include digital solutions. The breadth of our Digital and Electronic solutions gives customers confidence in our ability to address their current and future needs.</w:t>
      </w:r>
    </w:p>
    <w:p>
      <w:pPr>
        <w:spacing w:after="0" w:line="79" w:lineRule="exact"/>
        <w:rPr>
          <w:rFonts w:ascii="Arial" w:cs="Arial" w:eastAsia="Arial" w:hAnsi="Arial"/>
          <w:sz w:val="18"/>
          <w:szCs w:val="18"/>
          <w:color w:val="auto"/>
        </w:rPr>
      </w:pPr>
    </w:p>
    <w:p>
      <w:pPr>
        <w:jc w:val="both"/>
        <w:ind w:left="620" w:right="80" w:hanging="329"/>
        <w:spacing w:after="0" w:line="307" w:lineRule="auto"/>
        <w:tabs>
          <w:tab w:leader="none" w:pos="615"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Experience with industry regulatory requirements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freight rail and passenger transit industries are governed by various government agencies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regulators in each country and region. These groups mandate rigorous manufacturer certification, new product testing and approval processes that we believe are difficult for new entrants to meet cost-effectively and efficiently without the scale and extensive experience we possess.</w:t>
      </w:r>
    </w:p>
    <w:p>
      <w:pPr>
        <w:ind w:left="620" w:right="680"/>
        <w:spacing w:after="0" w:line="323" w:lineRule="auto"/>
        <w:rPr>
          <w:rFonts w:ascii="Arial" w:cs="Arial" w:eastAsia="Arial" w:hAnsi="Arial"/>
          <w:sz w:val="15"/>
          <w:szCs w:val="15"/>
          <w:color w:val="auto"/>
        </w:rPr>
      </w:pPr>
      <w:r>
        <w:rPr>
          <w:rFonts w:ascii="Arial" w:cs="Arial" w:eastAsia="Arial" w:hAnsi="Arial"/>
          <w:sz w:val="16"/>
          <w:szCs w:val="16"/>
          <w:color w:val="auto"/>
        </w:rPr>
        <w:t>Certification processes are lengthy, and often require local presence and expertise. In addition, each transit agency places a high degree of importance on vehicle customization, which requires experience and technical expertise to meet ever-evolving specifications.</w:t>
      </w:r>
    </w:p>
    <w:p>
      <w:pPr>
        <w:spacing w:after="0" w:line="30" w:lineRule="exact"/>
        <w:rPr>
          <w:rFonts w:ascii="Arial" w:cs="Arial" w:eastAsia="Arial" w:hAnsi="Arial"/>
          <w:sz w:val="15"/>
          <w:szCs w:val="15"/>
          <w:color w:val="auto"/>
        </w:rPr>
      </w:pPr>
    </w:p>
    <w:p>
      <w:pPr>
        <w:ind w:left="620" w:right="980" w:hanging="329"/>
        <w:spacing w:after="0" w:line="308"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Streamlined Cost Structure and Operational Excellence Provide Operating Leverage and Support Wabtec’s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Wabtec’s lean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and continuous improvement initiatives have been a part of the Company’s culture for</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 w:name="page8"/>
    <w:bookmarkEnd w:id="7"/>
    <w:p>
      <w:pPr>
        <w:ind w:left="620" w:right="140"/>
        <w:spacing w:after="0" w:line="296" w:lineRule="auto"/>
        <w:rPr>
          <w:sz w:val="20"/>
          <w:szCs w:val="20"/>
          <w:color w:val="auto"/>
        </w:rPr>
      </w:pPr>
      <w:r>
        <w:rPr>
          <w:rFonts w:ascii="Arial" w:cs="Arial" w:eastAsia="Arial" w:hAnsi="Arial"/>
          <w:sz w:val="16"/>
          <w:szCs w:val="16"/>
          <w:color w:val="auto"/>
        </w:rPr>
        <w:t>more than 25 years and have enabled Wabtec to manage successfully through cycles in the rail supply market. We are continuing to expand our Operating Excellence focus in driving productivity and delighting customers. Our Operating Excellence Program leverages the breadth and depth of our One Wabtec expertise across the organization in sharing of best practice, instilling a culture of learning, problem solving, continuous improvement, and driving standard operating practices. This, coupled with our overall manufacturing and supply base footprint initiatives, will drive increased flexibility and improved responsiveness to our customer needs while driving margin improvement through productivity.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280" w:firstLine="486"/>
        <w:spacing w:after="0" w:line="272" w:lineRule="auto"/>
        <w:rPr>
          <w:sz w:val="20"/>
          <w:szCs w:val="20"/>
          <w:color w:val="auto"/>
        </w:rPr>
      </w:pPr>
      <w:r>
        <w:rPr>
          <w:rFonts w:ascii="Arial" w:cs="Arial" w:eastAsia="Arial" w:hAnsi="Arial"/>
          <w:sz w:val="17"/>
          <w:szCs w:val="17"/>
          <w:color w:val="auto"/>
        </w:rPr>
        <w:t>We strive to generate sufficient cash to invest in our growth strategies and to build on what we consider to be a leading position as a low-cost producer in the industry while maintaining world-class product quality,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corporation, while benchmarking against best-in-class competitors and peers. Over time, we expect to continue to increase operating margins, improve cash flow and strengthen our ability to invest in the following growth strategies:</w:t>
      </w:r>
    </w:p>
    <w:p>
      <w:pPr>
        <w:spacing w:after="0" w:line="65" w:lineRule="exact"/>
        <w:rPr>
          <w:sz w:val="20"/>
          <w:szCs w:val="20"/>
          <w:color w:val="auto"/>
        </w:rPr>
      </w:pPr>
    </w:p>
    <w:p>
      <w:pPr>
        <w:ind w:left="620" w:right="400" w:hanging="329"/>
        <w:spacing w:after="0" w:line="274"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Product innovation and new technologies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emphasize innovation and development funding to create new products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such as the battery electric locomotive and vehicle monitoring and data analytics. We have a multi-year initiative to build on our existing expertise and technologies in the digital and electronics areas. In addition, we invest in developing enhancements and new features to existing products, such as brake discs and heat exchangers. We are focusing on technological advances, especially in the areas of electronics, braking products and other on-board equipment, as a means to deliver new product growth. We seek to provide customers with incremental technological advances that offer immediate benefits with cost-effective investments.</w:t>
      </w:r>
    </w:p>
    <w:p>
      <w:pPr>
        <w:spacing w:after="0" w:line="69" w:lineRule="exact"/>
        <w:rPr>
          <w:rFonts w:ascii="Arial" w:cs="Arial" w:eastAsia="Arial" w:hAnsi="Arial"/>
          <w:sz w:val="17"/>
          <w:szCs w:val="17"/>
          <w:color w:val="auto"/>
        </w:rPr>
      </w:pPr>
    </w:p>
    <w:p>
      <w:pPr>
        <w:ind w:left="620" w:hanging="329"/>
        <w:spacing w:after="0" w:line="271"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and market expansion. </w:t>
      </w:r>
      <w:r>
        <w:rPr>
          <w:rFonts w:ascii="Arial" w:cs="Arial" w:eastAsia="Arial" w:hAnsi="Arial"/>
          <w:sz w:val="17"/>
          <w:szCs w:val="17"/>
          <w:color w:val="auto"/>
        </w:rPr>
        <w:t>We believe that international markets represent a significant opportunity for future growth. In 2020, net sales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non-U.S. customers were approximately $4.4 billion. We intend to increase international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In transit, we are focused on mature markets such as Europe and emerging markets such as India. In freight, we are targeting markets that operate significant fleets of U.S.-style locomotives and freight cars, including Australia, Brazil, China, India, Russia, South Africa, and other select areas within Europe and South America. In addition, we have opportunities to increase the sale of certain products that we currently manufacture for the rail industry into other industrial markets, such as mining, off-highway and energy. These products include heat exchangers and friction materials.</w:t>
      </w:r>
    </w:p>
    <w:p>
      <w:pPr>
        <w:spacing w:after="0" w:line="66" w:lineRule="exact"/>
        <w:rPr>
          <w:rFonts w:ascii="Arial" w:cs="Arial" w:eastAsia="Arial" w:hAnsi="Arial"/>
          <w:sz w:val="17"/>
          <w:szCs w:val="17"/>
          <w:color w:val="auto"/>
        </w:rPr>
      </w:pPr>
    </w:p>
    <w:p>
      <w:pPr>
        <w:ind w:left="620" w:right="160" w:hanging="329"/>
        <w:spacing w:after="0" w:line="256"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Aftermarket products and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aftermarket sales are less cyclical than OEM sales because a certain level of aftermarket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service work must be performed, even during an industry slowdown. In 2020, net sales of aftermarket parts and services represented about 60% of total net sales. As a long time supplier of original equipment, we have an extensive installed base of equipment in the field, which generates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79" w:lineRule="exact"/>
        <w:rPr>
          <w:rFonts w:ascii="Arial" w:cs="Arial" w:eastAsia="Arial" w:hAnsi="Arial"/>
          <w:sz w:val="18"/>
          <w:szCs w:val="18"/>
          <w:color w:val="auto"/>
        </w:rPr>
      </w:pPr>
    </w:p>
    <w:p>
      <w:pPr>
        <w:ind w:left="620" w:right="20" w:hanging="329"/>
        <w:spacing w:after="0" w:line="303" w:lineRule="auto"/>
        <w:tabs>
          <w:tab w:leader="none" w:pos="61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Acquisitions, joint ventures and alliances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invest in acquisitions, joint ventures and alliances using a disciplined, selective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and rigorous financial criteria. These transactions are expected to meet our financial criteria and contribute to growth strategies of product innovation and new technologies, global expansion, and aftermarket products and services. We believe these expansion strategies will help Wabtec to grow profitably, expand geographically, and dampen the impact from potential cycles in the North American freight rail industry.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Joint Ventures</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See Note 3 of the Notes to Consolidated Financial Statements included in Part IV, Item 5 of this report for additional information about our recent acquisitions and joint ventures.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Company’s backlog was about $21.6 billion at December 31, 2020. For 2020, about 60% of total net sales came from aftermarket orders, which typically carry lead times of less than 30 days and are not included in backlog for a significant period of time.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 w:name="page9"/>
    <w:bookmarkEnd w:id="8"/>
    <w:p>
      <w:pPr>
        <w:ind w:right="80" w:firstLine="486"/>
        <w:spacing w:after="0" w:line="257" w:lineRule="auto"/>
        <w:rPr>
          <w:sz w:val="20"/>
          <w:szCs w:val="20"/>
          <w:color w:val="auto"/>
        </w:rPr>
      </w:pPr>
      <w:r>
        <w:rPr>
          <w:rFonts w:ascii="Arial" w:cs="Arial" w:eastAsia="Arial" w:hAnsi="Arial"/>
          <w:sz w:val="18"/>
          <w:szCs w:val="18"/>
          <w:color w:val="auto"/>
        </w:rPr>
        <w:t>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rollforward of the Company's backlog of firm customer orders and the expected year of completion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Freight Segment</w:t>
            </w:r>
          </w:p>
        </w:tc>
        <w:tc>
          <w:tcPr>
            <w:tcW w:w="16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Transit Segment</w:t>
            </w:r>
          </w:p>
        </w:tc>
        <w:tc>
          <w:tcPr>
            <w:tcW w:w="200" w:type="dxa"/>
            <w:vAlign w:val="bottom"/>
          </w:tcPr>
          <w:p>
            <w:pPr>
              <w:spacing w:after="0"/>
              <w:rPr>
                <w:sz w:val="17"/>
                <w:szCs w:val="17"/>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22,431.7</w:t>
            </w:r>
          </w:p>
        </w:tc>
      </w:tr>
      <w:tr>
        <w:trPr>
          <w:trHeight w:val="229"/>
        </w:trPr>
        <w:tc>
          <w:tcPr>
            <w:tcW w:w="20" w:type="dxa"/>
            <w:vAlign w:val="bottom"/>
          </w:tcPr>
          <w:p>
            <w:pPr>
              <w:spacing w:after="0"/>
              <w:rPr>
                <w:sz w:val="19"/>
                <w:szCs w:val="19"/>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New orders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4,255.2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2,522.5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6,777.7</w:t>
            </w: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(7,556.1)</w:t>
            </w:r>
          </w:p>
        </w:tc>
      </w:tr>
      <w:tr>
        <w:trPr>
          <w:trHeight w:val="229"/>
        </w:trPr>
        <w:tc>
          <w:tcPr>
            <w:tcW w:w="20" w:type="dxa"/>
            <w:vAlign w:val="bottom"/>
            <w:tcBorders>
              <w:bottom w:val="single" w:sz="8" w:color="CCEEFF"/>
            </w:tcBorders>
          </w:tcPr>
          <w:p>
            <w:pPr>
              <w:spacing w:after="0"/>
              <w:rPr>
                <w:sz w:val="19"/>
                <w:szCs w:val="19"/>
                <w:color w:val="auto"/>
              </w:rPr>
            </w:pPr>
          </w:p>
        </w:tc>
        <w:tc>
          <w:tcPr>
            <w:tcW w:w="6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Adjustments / foreign exchange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Expected Delivery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860" w:type="dxa"/>
            <w:vAlign w:val="bottom"/>
            <w:gridSpan w:val="2"/>
          </w:tcPr>
          <w:p>
            <w:pPr>
              <w:jc w:val="right"/>
              <w:ind w:right="390"/>
              <w:spacing w:after="0"/>
              <w:rPr>
                <w:sz w:val="20"/>
                <w:szCs w:val="20"/>
                <w:color w:val="auto"/>
              </w:rPr>
            </w:pPr>
            <w:r>
              <w:rPr>
                <w:rFonts w:ascii="Arial" w:cs="Arial" w:eastAsia="Arial" w:hAnsi="Arial"/>
                <w:sz w:val="18"/>
                <w:szCs w:val="18"/>
                <w:color w:val="auto"/>
                <w:w w:val="89"/>
              </w:rPr>
              <w:t>2021</w:t>
            </w:r>
          </w:p>
        </w:tc>
        <w:tc>
          <w:tcPr>
            <w:tcW w:w="5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3,586.3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1,934.4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5,520.7</w:t>
            </w: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16,070.6</w:t>
            </w:r>
          </w:p>
        </w:tc>
      </w:tr>
    </w:tbl>
    <w:p>
      <w:pPr>
        <w:spacing w:after="0" w:line="148"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The Company saw no significant cancellations of backlog during the year ended December 31, 2020 despite the unprecedented pandemic caused by COVID-19 and its effects on locomotive parkings, carbuilds, and transit ridership levels. However, the economic slowdown that was caused by COVID-19 did have some impact on the timing of orders in backlog as the delivery of goods and services previously expected to be completed in the current year has been pushed out to future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Development</w:t>
      </w:r>
    </w:p>
    <w:p>
      <w:pPr>
        <w:spacing w:after="0" w:line="12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To execute our strategy to develop new products, we invest in a variety of engineering and development activities. For the fiscal years ended December 31, 2020, 2019 and 2018, we invested $162.1 million, $209.9 million and $87.5 million, respectively, on product development and improvement activities. Significant incremental engineering expense is incurred with the execution of original equipment customer contracts. Across the corporation we have established multiple Centers of Competence, which have specialized, technical expertise in various disciplines and product areas.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engineering and development program includes investments in data analytics, train control and other new technologies, with an emphasis on developing products that enhance safety, productivity and efficiency for our customers. For example, we have developed advanced cooling systems that enable lower emissions from diesel engines used in rail and other industrial markets. Sometimes we conduct specific research projects in conjunction with universities, customers and other industry suppliers.</w:t>
      </w:r>
    </w:p>
    <w:p>
      <w:pPr>
        <w:spacing w:after="0" w:line="79"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have about 6,000 active patents worldwide and on average file for approximately 300 new patents each year. We also rely on a combination of trade secrets and other intellectual property laws, nondisclosure agreements and other protective measures to establish and protect our proprietary rights in our intellectual property. We also follow the product development practices of our competitors to monitor any possible patent infringement by them, and to evaluate their strategies and plans.</w:t>
      </w:r>
    </w:p>
    <w:p>
      <w:pPr>
        <w:spacing w:after="0" w:line="7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Certain trademarks, among them the name WABCO</w:t>
      </w:r>
      <w:r>
        <w:rPr>
          <w:rFonts w:ascii="Arial" w:cs="Arial" w:eastAsia="Arial" w:hAnsi="Arial"/>
          <w:sz w:val="16"/>
          <w:szCs w:val="16"/>
          <w:color w:val="auto"/>
        </w:rPr>
        <w:t>®</w:t>
      </w:r>
      <w:r>
        <w:rPr>
          <w:rFonts w:ascii="Arial" w:cs="Arial" w:eastAsia="Arial" w:hAnsi="Arial"/>
          <w:sz w:val="18"/>
          <w:szCs w:val="18"/>
          <w:color w:val="auto"/>
        </w:rPr>
        <w:t>, were acquired or licensed from American Standard Inc., now known as Trane, in 1990 at the time of our acquisition of the North American operations of the Railway Products Group of Trane. Other trademarks have been developed through the normal course of business or acquired as a part of our ongoing merger and acquisition program.</w:t>
      </w:r>
    </w:p>
    <w:p>
      <w:pPr>
        <w:spacing w:after="0" w:line="7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have entered into a variety of license agreements as licensor and licensee. We do not believe that any single license agreement is of material importance to our business or either of our business segments as a whole.</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have issued licenses to the two sole suppliers of railway air brakes and related products in Japan, Nabtesco and Mitsubishi Electric Company. The licensees pay annual license fees to us and also assist us by acting as liaisons with key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Japanese passenger transit vehicle builders for projects in North America. We believe that our relationships with these licensees are beneficial to our core transit business and customer relationships in North America.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provide products and services for more than 500 customers worldwide. Our customers include passenger transit authorities and railroads throughout North America, Europe, Asia Pacific, South Africa and South America; manufacturers of transportation equipment, such as locomotives, freight cars, passenger transit vehicles and buses; and companies that own, lease, and maintain such equipment.</w:t>
      </w:r>
    </w:p>
    <w:p>
      <w:pPr>
        <w:spacing w:after="0" w:line="76"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Top customers can change from year to year. For the fiscal year ended December 31, 2020, our top five customers accounted for approximately 24% of net sales. No one customer represents 10% or more of consolidated net sales. We believe that we have strong relationships with all of our key customers.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hold a leading market share for many of our core product lines globally, although market shares vary by product lines and geographies. 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7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Original Equipment Manufacturer ("OEM") competitors. Our competition for locomotive, freight and passenger transit service and repair is mostly from the railroads’ and passenger transit authorities’ in-house operations, Electro-Motive Diesel, a division of Caterpillar, and Knorr. We believe our key strengths, which include leading market positions in core products, breadth of product offering with a stable mix of OEM and aftermarket business, leading design and engineering capabilities, significant barriers to entry and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117"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At Wabtec, we believe performance drives progress, and are committed to developing sustainable transportation solutions that move and improve the world. We are committed to driving an inclusive culture and integrating our talent and capabilities across the enterprise. As a company, we believe that protecting the health and safety of our people and the environment is the responsibility of everyone at Wabtec, especially during a global pandemic.</w:t>
      </w:r>
    </w:p>
    <w:p>
      <w:pPr>
        <w:spacing w:after="0" w:line="4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headquarters are in Pittsburgh, Pennsylvania and we have offices and facilities in over 50 countries around the globe. As of December 31, 2020, we have a global workforce of approximately 27,000.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17" w:lineRule="exact"/>
        <w:rPr>
          <w:sz w:val="20"/>
          <w:szCs w:val="20"/>
          <w:color w:val="auto"/>
        </w:rPr>
      </w:pPr>
    </w:p>
    <w:p>
      <w:pPr>
        <w:jc w:val="both"/>
        <w:ind w:right="100" w:firstLine="486"/>
        <w:spacing w:after="0" w:line="287" w:lineRule="auto"/>
        <w:rPr>
          <w:sz w:val="20"/>
          <w:szCs w:val="20"/>
          <w:color w:val="auto"/>
        </w:rPr>
      </w:pPr>
      <w:r>
        <w:rPr>
          <w:rFonts w:ascii="Arial" w:cs="Arial" w:eastAsia="Arial" w:hAnsi="Arial"/>
          <w:sz w:val="16"/>
          <w:szCs w:val="16"/>
          <w:color w:val="auto"/>
        </w:rPr>
        <w:t>Wabtec is committed to ensuring a diverse and inclusive workplace that respects and seeks the unique talents, experiences and viewpoints of all our employees. We strive to create an inclusive workplace where employees can be themselves. In 2019, women constituted approximately 16% of our global workforce and approximately 18% of our salaried employees. Our U.S. employee base was comprised of approximately 19% of people of color in 2019.</w:t>
      </w:r>
    </w:p>
    <w:p>
      <w:pPr>
        <w:spacing w:after="0" w:line="2"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We also announced our goals of 20% female representation globally, 25% female representation among salaried employees, 30% representation among people of color across the total U.S. workforce and 25% representation among people of color across U.S. salaried employees by 2030.</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We continually invest in our employees’ career growth and provide employees with a wide range of development opportunities, including face-to-face, virtual, social and self-directed learning, mentoring and coaching programs. We have invested in training courses through Wabtec’s Learning Management System (LMS).</w:t>
      </w:r>
    </w:p>
    <w:p>
      <w:pPr>
        <w:spacing w:after="0" w:line="76"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Our two-year Leadership, Expertise, Advancement and Development (LEAD) program is the primary path for university graduates into Wabtec. LEAD is a two-year program that offers an immersive learning experience in the fields of engineering, operations, finance and IT along with extensive leadership training designed to build the next generation of leaders. On average, there are 100 participants in the LEAD program that rotate between business units every six months to work on strategic projects and assignments, gain exposure to senior leadership and build their global professional network. Approximately 20</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0" w:name="page11"/>
    <w:bookmarkEnd w:id="10"/>
    <w:p>
      <w:pPr>
        <w:ind w:right="500"/>
        <w:spacing w:after="0" w:line="277" w:lineRule="auto"/>
        <w:rPr>
          <w:sz w:val="20"/>
          <w:szCs w:val="20"/>
          <w:color w:val="auto"/>
        </w:rPr>
      </w:pPr>
      <w:r>
        <w:rPr>
          <w:rFonts w:ascii="Arial" w:cs="Arial" w:eastAsia="Arial" w:hAnsi="Arial"/>
          <w:sz w:val="18"/>
          <w:szCs w:val="18"/>
          <w:color w:val="auto"/>
        </w:rPr>
        <w:t>percent of Wabtec’s Equipment and Services engineering and operations leaders are graduates of LEAD. We are focused on growing this program to support our global talent pipeline.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When it comes to employee safety, our commitment is to provide safe work environments for our employees and to meet or exceed environmental, health, and safety (EHS) laws and regulations in the places where we operate. In 2020, the company relaunched the Environment, Health, and Safety component of the Wabtec Management System (known as the “EHS WMS”) to strengthen our management system approach to addressing EHS risks and promote the consistent implementation of best practices across all our global manufacturing and services sites, regardless of how local laws are implemented or enforced. The EHS WMS establishes standard expectations in 13 core competency areas, including leadership and accountability, regulatory applicability review, EHS processes and systems, risk assessment, safety defenses, exposure defenses, environmental defenses and contractor management. Operational sites are measured against these EHS program expectations. In addition, the company’s EHS WMS is directly aligned to accepted international standards, such as ISO 14001 for Environmental and ISO 45001 for Occupational Health and Safety.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pandemic has reinforced the importance of keeping Wabtec employees safe and healthy while keeping essential rail services and the global economy moving. When the pandemic began, Wabtec launched its COVID-19 Crisis Management Team, which met daily to focus on three key elements: protecting our people, serving our customers, and ensuring business continuity. Manufacturing and office locations were required to implement risk assessment methodologies and rethink work practices to allow for remote working or social distancing, develop new procedures for workplace entry, strengthen site-level crisis management teams and implement new tools for rapid communication with site employees. Site leaders and people managers were trained on techniques for communicating transparently and navigating complex business decisions during a crisis.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We remain committed to a strong pay-for performance philosophy that aligns individual performance, behaviors and business results with individual rewards. To deliver on that commitment, we utilize market data to benchmark to the external market, and consider factors such as an employee’s role and experience, the location of the job and performance when determining compensation.</w:t>
      </w:r>
    </w:p>
    <w:p>
      <w:pPr>
        <w:spacing w:after="0" w:line="76"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We provide our employees resources to help them succeed. We offer a wide range of benefits including healthcare and wellness benefits, retirement benefits, an Employee Assistance Program, Employee Resource Groups to build diverse communities at Wabtec, and paid time off.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In the course of our operations, we are subject to various regulations and standards of governments and other agencies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6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Most countries and regions in which Wabtec does business have similar rule-making bodies. In Russia, a GOST-R certificate of conformity is mandatory for all products related to the safety of individuals in Russian territory. In China, any product or system sold on the Chinese market must have been certified in accordance with national standards. In the local Indian market, most products are covered by regulations patterned after AAR and UIC standards.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Seasonality</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business is not typically seasonal. Third quarter results may be affected by the timing of services performed under our locomotive maintenance contracts and vacation and scheduled plant shutdowns at several of our major customers. Fourth quarter results may be affected by the timing of spare parts and service orders placed by transit agencies worldwide. Quarterly results can also be affected by the timing of projects in backlog and by project delays.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Additional information on environmental matters is included in Note 19 of “Notes to Consolidated Financial Statements” included in Part IV, Item 15 of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www.wabteccorp.com</w:t>
      </w:r>
      <w:r>
        <w:rPr>
          <w:rFonts w:ascii="Arial" w:cs="Arial" w:eastAsia="Arial" w:hAnsi="Arial"/>
          <w:sz w:val="17"/>
          <w:szCs w:val="17"/>
          <w:color w:val="auto"/>
        </w:rPr>
        <w:t>. Our annual reports on Form 10-K, quarterly reports on Form 10-Q, current reports on Form 8-K and amendments to such reports filed or furnished pursuant to Section 13(a) or 15(d) of the Securities Exchange Act of 1934, as well as the annual report to stockholders and other information, are available free of charge on this site.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Nominating and Corporate Governance Committees, our Code of Conduct, which is applicable to all employees, our Code of Ethics for Senior Officers, which is applicable to our executive officers, our Policies on Related Party Transactions and Conflict Minerals, and our Sustainability Report.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 w:name="page13"/>
    <w:bookmarkEnd w:id="12"/>
    <w:p>
      <w:pPr>
        <w:ind w:left="33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on our executive officers as of February 19,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Officers</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Borders>
              <w:bottom w:val="single" w:sz="8" w:color="CCEEFF"/>
            </w:tcBorders>
          </w:tcPr>
          <w:p>
            <w:pPr>
              <w:spacing w:after="0"/>
              <w:rPr>
                <w:sz w:val="18"/>
                <w:szCs w:val="18"/>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1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Rafael Santana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David L. DeNinno</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Executive Vice President, General Counsel and Secretary</w:t>
            </w: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Patrick D. Dugan</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Finance and Chief Financial Officer</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Nicole Theophilus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Gebhardt</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Technology Officer</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Michael E. Fetsko</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President, Freight and Industrial Components</w:t>
            </w: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Pascal Schweitzer</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Global Freight Services</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Rogerio Mendonca</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President, Equipment</w:t>
            </w: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Nalin Jain</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Digital Electronics</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Lillian Leroux</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President, Transit</w:t>
            </w: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 A. Mastalerz</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of Finance and Chief Accounting Officer</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Gina Trombley</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Senior Vice President, Sales &amp; Marketing &amp; Chief Commercial Officer - Americas</w:t>
            </w: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 Sbrocco</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Global Operations</w:t>
            </w:r>
          </w:p>
        </w:tc>
      </w:tr>
    </w:tbl>
    <w:p>
      <w:pPr>
        <w:spacing w:after="0" w:line="148"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i w:val="1"/>
          <w:iCs w:val="1"/>
          <w:color w:val="auto"/>
        </w:rPr>
        <w:t xml:space="preserve">Rafael Santana </w:t>
      </w:r>
      <w:r>
        <w:rPr>
          <w:rFonts w:ascii="Arial" w:cs="Arial" w:eastAsia="Arial" w:hAnsi="Arial"/>
          <w:sz w:val="17"/>
          <w:szCs w:val="17"/>
          <w:color w:val="auto"/>
        </w:rPr>
        <w:t>was named President and Chief Executive Officer of the Company effective July 1, 2019. Previously, he served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February 2019 to July 2019.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70"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i w:val="1"/>
          <w:iCs w:val="1"/>
          <w:color w:val="auto"/>
        </w:rPr>
        <w:t xml:space="preserve">David L. DeNinno </w:t>
      </w:r>
      <w:r>
        <w:rPr>
          <w:rFonts w:ascii="Arial" w:cs="Arial" w:eastAsia="Arial" w:hAnsi="Arial"/>
          <w:sz w:val="18"/>
          <w:szCs w:val="18"/>
          <w:color w:val="auto"/>
        </w:rPr>
        <w:t>was named Executive Vice President, General Counsel and Secretary of the Company effective December 2016. Previously, Mr.</w:t>
      </w:r>
      <w:r>
        <w:rPr>
          <w:rFonts w:ascii="Arial" w:cs="Arial" w:eastAsia="Arial" w:hAnsi="Arial"/>
          <w:sz w:val="18"/>
          <w:szCs w:val="18"/>
          <w:i w:val="1"/>
          <w:iCs w:val="1"/>
          <w:color w:val="auto"/>
        </w:rPr>
        <w:t xml:space="preserve"> </w:t>
      </w:r>
      <w:r>
        <w:rPr>
          <w:rFonts w:ascii="Arial" w:cs="Arial" w:eastAsia="Arial" w:hAnsi="Arial"/>
          <w:sz w:val="18"/>
          <w:szCs w:val="18"/>
          <w:color w:val="auto"/>
        </w:rPr>
        <w:t>DeNinno served as Senior Vice President, General Counsel and Secretary since February 2012. Previously, Mr. DeNinno served as a partner at K&amp;L Gates LLP since May 2011 and prior to that with Reed Smith LLP.</w:t>
      </w:r>
    </w:p>
    <w:p>
      <w:pPr>
        <w:spacing w:after="0" w:line="7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i w:val="1"/>
          <w:iCs w:val="1"/>
          <w:color w:val="auto"/>
        </w:rPr>
        <w:t xml:space="preserve">Patrick D. Dugan </w:t>
      </w:r>
      <w:r>
        <w:rPr>
          <w:rFonts w:ascii="Arial" w:cs="Arial" w:eastAsia="Arial" w:hAnsi="Arial"/>
          <w:sz w:val="18"/>
          <w:szCs w:val="18"/>
          <w:color w:val="auto"/>
        </w:rPr>
        <w:t>was named Executive Vice President and Chief Financial Officer effective December 2016. Previously Mr. Dugan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and Chief Financial Officer since January 2014. Previously, Mr. Dugan was Senior Vice President, Finance and Corporate Controller from January 2012 until November 2013. He originally joined Wabtec in 2003 as Vice President, Corporate Controller. Prior to joining Wabtec, Mr. Dugan served as Vice President and Chief Financial Officer of CWI International, Inc. from December 1996 to November 2003. Prior to 1996, Mr. Dugan was a Manager with PricewaterhouseCoopers LLP.</w:t>
      </w:r>
    </w:p>
    <w:p>
      <w:pPr>
        <w:spacing w:after="0" w:line="8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 xml:space="preserve">Nicole Theophilus </w:t>
      </w:r>
      <w:r>
        <w:rPr>
          <w:rFonts w:ascii="Arial" w:cs="Arial" w:eastAsia="Arial" w:hAnsi="Arial"/>
          <w:sz w:val="18"/>
          <w:szCs w:val="18"/>
          <w:color w:val="auto"/>
        </w:rPr>
        <w:t>was named Executive Vice President &amp; Chief Human Resource Officer in October 2020. Prior to joining Wabtec, Ms. Theophilus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most recently as Chief Human Resource Officer of West Corporation. Previously she served as Executive Vice President and Chief Human Resource Officer, Vice President of Human Resources and Vice President and Chief Employment Counsel of ConAgra Corporation. Prior to 2006, Ms. Theophilus was a partner with the law firm Husch Blackwell.</w:t>
      </w:r>
    </w:p>
    <w:p>
      <w:pPr>
        <w:spacing w:after="0" w:line="79"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i w:val="1"/>
          <w:iCs w:val="1"/>
          <w:color w:val="auto"/>
        </w:rPr>
        <w:t xml:space="preserve">Eric Gebhardt </w:t>
      </w:r>
      <w:r>
        <w:rPr>
          <w:rFonts w:ascii="Arial" w:cs="Arial" w:eastAsia="Arial" w:hAnsi="Arial"/>
          <w:sz w:val="17"/>
          <w:szCs w:val="17"/>
          <w:color w:val="auto"/>
        </w:rPr>
        <w:t>was named Chief Technology Officer in October 2020. Prior to joining Wabtec, Mr. Gebhardt served as Managing Director of KCK-US. He also served in a variety of roles with General Electric including Chief Technology Officer of GE Power, Chief Product Management Officer for GE Energy Connections, Chief Platforms and Operations Officer for Current, and Chief Technology Officer for GE Oil &amp; Gas.</w:t>
      </w:r>
    </w:p>
    <w:p>
      <w:pPr>
        <w:spacing w:after="0" w:line="5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Michael E. Fetsko </w:t>
      </w:r>
      <w:r>
        <w:rPr>
          <w:rFonts w:ascii="Arial" w:cs="Arial" w:eastAsia="Arial" w:hAnsi="Arial"/>
          <w:sz w:val="18"/>
          <w:szCs w:val="18"/>
          <w:color w:val="auto"/>
        </w:rPr>
        <w:t>was named President, Freight and Industrial Components effective January 2017. Previously, Mr. Fetsko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Group Executive from January 2014. 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7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Pascal Schweitzer </w:t>
      </w:r>
      <w:r>
        <w:rPr>
          <w:rFonts w:ascii="Arial" w:cs="Arial" w:eastAsia="Arial" w:hAnsi="Arial"/>
          <w:sz w:val="18"/>
          <w:szCs w:val="18"/>
          <w:color w:val="auto"/>
        </w:rPr>
        <w:t>was named President, Global Freight Services on February 25, 2019. Previously Mr. Schweitzer was the Vice President—Services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of GE Transportation since April 2017. He served as General Manger – Europe – Power Services for GE Power from November 2015 through April 2017 and prior to that several positions with Alstom Power.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160" w:firstLine="486"/>
        <w:spacing w:after="0" w:line="263" w:lineRule="auto"/>
        <w:rPr>
          <w:sz w:val="20"/>
          <w:szCs w:val="20"/>
          <w:color w:val="auto"/>
        </w:rPr>
      </w:pPr>
      <w:r>
        <w:rPr>
          <w:rFonts w:ascii="Arial" w:cs="Arial" w:eastAsia="Arial" w:hAnsi="Arial"/>
          <w:sz w:val="18"/>
          <w:szCs w:val="18"/>
          <w:i w:val="1"/>
          <w:iCs w:val="1"/>
          <w:color w:val="auto"/>
        </w:rPr>
        <w:t xml:space="preserve">Rogerio Mendonca </w:t>
      </w:r>
      <w:r>
        <w:rPr>
          <w:rFonts w:ascii="Arial" w:cs="Arial" w:eastAsia="Arial" w:hAnsi="Arial"/>
          <w:sz w:val="18"/>
          <w:szCs w:val="18"/>
          <w:color w:val="auto"/>
        </w:rPr>
        <w:t>was named President, Freight Equipment on February 1, 2021. Previously Mr. Mendonca served as Vice President for Baker</w:t>
      </w:r>
      <w:r>
        <w:rPr>
          <w:rFonts w:ascii="Arial" w:cs="Arial" w:eastAsia="Arial" w:hAnsi="Arial"/>
          <w:sz w:val="18"/>
          <w:szCs w:val="18"/>
          <w:i w:val="1"/>
          <w:iCs w:val="1"/>
          <w:color w:val="auto"/>
        </w:rPr>
        <w:t xml:space="preserve"> </w:t>
      </w:r>
      <w:r>
        <w:rPr>
          <w:rFonts w:ascii="Arial" w:cs="Arial" w:eastAsia="Arial" w:hAnsi="Arial"/>
          <w:sz w:val="18"/>
          <w:szCs w:val="18"/>
          <w:color w:val="auto"/>
        </w:rPr>
        <w:t>Hughes. Prior to that he served as President of GE Transportation in Latin America and in several roles leading up to that including Commercial Director and Service Operations General Manager.</w:t>
      </w:r>
    </w:p>
    <w:p>
      <w:pPr>
        <w:spacing w:after="0" w:line="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Nalin Jain </w:t>
      </w:r>
      <w:r>
        <w:rPr>
          <w:rFonts w:ascii="Arial" w:cs="Arial" w:eastAsia="Arial" w:hAnsi="Arial"/>
          <w:sz w:val="18"/>
          <w:szCs w:val="18"/>
          <w:color w:val="auto"/>
        </w:rPr>
        <w:t>was named President, Digital Electronics business effective December 2020. Mr. Jain had served as President, Global Equipment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2019 and previously as President &amp; CEO, International Markets since Aug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79"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i w:val="1"/>
          <w:iCs w:val="1"/>
          <w:color w:val="auto"/>
        </w:rPr>
        <w:t xml:space="preserve">Lilian Leroux </w:t>
      </w:r>
      <w:r>
        <w:rPr>
          <w:rFonts w:ascii="Arial" w:cs="Arial" w:eastAsia="Arial" w:hAnsi="Arial"/>
          <w:sz w:val="17"/>
          <w:szCs w:val="17"/>
          <w:color w:val="auto"/>
        </w:rPr>
        <w:t>was named President, Transit effective March 2019. Previously he served as Group President—Brakes &amp; Safety from January 2017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2019. Prior to that, Mr. Leroux held various executive management roles with Faiveley Transport, starting in January 2001.</w:t>
      </w:r>
    </w:p>
    <w:p>
      <w:pPr>
        <w:spacing w:after="0" w:line="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John A. Mastalerz </w:t>
      </w:r>
      <w:r>
        <w:rPr>
          <w:rFonts w:ascii="Arial" w:cs="Arial" w:eastAsia="Arial" w:hAnsi="Arial"/>
          <w:sz w:val="18"/>
          <w:szCs w:val="18"/>
          <w:color w:val="auto"/>
        </w:rPr>
        <w:t>was named Senior Vice President of Finance and Chief Accounting Officer in February 2020. Previously, Mr. Mastalerz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Corporate 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 LLP.</w:t>
      </w:r>
    </w:p>
    <w:p>
      <w:pPr>
        <w:spacing w:after="0" w:line="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Gina Trombley </w:t>
      </w:r>
      <w:r>
        <w:rPr>
          <w:rFonts w:ascii="Arial" w:cs="Arial" w:eastAsia="Arial" w:hAnsi="Arial"/>
          <w:sz w:val="18"/>
          <w:szCs w:val="18"/>
          <w:color w:val="auto"/>
        </w:rPr>
        <w:t>was named Senior Vice President, Sales &amp; Marketing &amp; Chief Commercial Officer - Americas, effective September 8, 2020.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Wabtec, Ms. Trombley served in various executive roles at Bombardier Transportation from 2017 to 2019, most recently as Vice President of Services and previously as Vice President Sales for Bombardier Transport - Americas. Ms. Trombley also held progressive commercial and marketing leadership roles at Parsons and GE Transportation.</w:t>
      </w:r>
    </w:p>
    <w:p>
      <w:pPr>
        <w:spacing w:after="0" w:line="79"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i w:val="1"/>
          <w:iCs w:val="1"/>
          <w:color w:val="auto"/>
        </w:rPr>
        <w:t xml:space="preserve">Greg Sbrocco </w:t>
      </w:r>
      <w:r>
        <w:rPr>
          <w:rFonts w:ascii="Arial" w:cs="Arial" w:eastAsia="Arial" w:hAnsi="Arial"/>
          <w:sz w:val="17"/>
          <w:szCs w:val="17"/>
          <w:color w:val="auto"/>
        </w:rPr>
        <w:t>was named Senior Vice President, Global Operations, effective February 25, 2019. Prior to this, Mr. Sbrocco was Global Supply</w:t>
      </w:r>
      <w:r>
        <w:rPr>
          <w:rFonts w:ascii="Arial" w:cs="Arial" w:eastAsia="Arial" w:hAnsi="Arial"/>
          <w:sz w:val="17"/>
          <w:szCs w:val="17"/>
          <w:i w:val="1"/>
          <w:iCs w:val="1"/>
          <w:color w:val="auto"/>
        </w:rPr>
        <w:t xml:space="preserve"> </w:t>
      </w:r>
      <w:r>
        <w:rPr>
          <w:rFonts w:ascii="Arial" w:cs="Arial" w:eastAsia="Arial" w:hAnsi="Arial"/>
          <w:sz w:val="17"/>
          <w:szCs w:val="17"/>
          <w:color w:val="auto"/>
        </w:rPr>
        <w:t>Chain Leader for GE Transportation. Mr. Sbrocco had been with GE since 1992 when he joined as an Environmental Engineer for the GE Energy business. During his tenure with GE, Mr. Sbrocco held several leadership roles in GE Energy, GE Oil and Gas, and GE Transportation.</w:t>
      </w:r>
    </w:p>
    <w:p>
      <w:pPr>
        <w:spacing w:after="0" w:line="22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customers.</w:t>
      </w:r>
    </w:p>
    <w:p>
      <w:pPr>
        <w:spacing w:after="0" w:line="11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We rely on several key customers who represent a significant portion of our business. While we believe our relationships with our customers are generally good, our top customers could choose to reduce or terminate their relationships with us. In addition, many of our customers place orders for products on an as-needed basis and operate in cyclical industries. As a result, customer order levels have varied from period to period in the past and may vary significantly in the future. Such customer orders are dependent upon their markets and customers and may be subject to delays and cancellations.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operates in a highly competitive industry.</w:t>
      </w:r>
    </w:p>
    <w:p>
      <w:pPr>
        <w:spacing w:after="0" w:line="11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 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predict and react to customer demand could adversely affect our business.</w:t>
      </w:r>
    </w:p>
    <w:p>
      <w:pPr>
        <w:spacing w:after="0" w:line="11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If we are unable to accurately forecast demand for our existing products or to react appropriately to changes in demand, we may experience delayed product shipments and customer dissatisfaction. If demand increases significantly from current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levels, both we and our suppliers may have difficulty meeting such demand, particularly if such demand increases occur rapidly. Alternatively, we may carry excess inventory if demand for our products decreases below projected levels.</w:t>
      </w:r>
    </w:p>
    <w:p>
      <w:pPr>
        <w:spacing w:after="0" w:line="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8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Failure to accurately predict and react to customer demand could have a material adverse effect on our business,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respond adequately or in a timely manner to innovative changes in new technology.</w:t>
      </w:r>
    </w:p>
    <w:p>
      <w:pPr>
        <w:spacing w:after="0" w:line="117"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In recent years, the global transportation landscape has been characterized by rapid changes in technology, leading to innovative transportation and logistics concepts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are subject to cyclical variations in the railway and passenger transit markets and changes in government spending.</w:t>
      </w:r>
    </w:p>
    <w:p>
      <w:pPr>
        <w:spacing w:after="0" w:line="117" w:lineRule="exact"/>
        <w:rPr>
          <w:sz w:val="20"/>
          <w:szCs w:val="20"/>
          <w:color w:val="auto"/>
        </w:rPr>
      </w:pPr>
    </w:p>
    <w:p>
      <w:pPr>
        <w:ind w:right="400" w:firstLine="486"/>
        <w:spacing w:after="0" w:line="311" w:lineRule="auto"/>
        <w:rPr>
          <w:sz w:val="20"/>
          <w:szCs w:val="20"/>
          <w:color w:val="auto"/>
        </w:rPr>
      </w:pPr>
      <w:r>
        <w:rPr>
          <w:rFonts w:ascii="Arial" w:cs="Arial" w:eastAsia="Arial" w:hAnsi="Arial"/>
          <w:sz w:val="16"/>
          <w:szCs w:val="16"/>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Reductions in freight traffic may reduce demand for our replacement products.</w:t>
      </w:r>
    </w:p>
    <w:p>
      <w:pPr>
        <w:spacing w:after="0" w:line="4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as a result,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not necessarily indicative of the level of our future revenues.</w:t>
      </w:r>
    </w:p>
    <w:p>
      <w:pPr>
        <w:spacing w:after="0" w:line="11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w:t>
      </w:r>
    </w:p>
    <w:p>
      <w:pPr>
        <w:spacing w:after="0" w:line="6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6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All of our facilities, equipment, supply chains, distribution systems and information technology systems are subject to the risk of catastrophic loss due to unanticipated events, such as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Disruption of our supply chain could have an adverse impact on our business, financial condition, and results of operations.</w:t>
      </w:r>
    </w:p>
    <w:p>
      <w:pPr>
        <w:spacing w:after="0" w:line="11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 Due to the on-going impacts and uncertainty of continued impacts of the COVID-19 pandemic and the global government actions to contain it, some of our supply chains, particularly in China, India and Europe, have been, and continue to be, impacted. There can be no assurance that there will not be further, or deeper, supply chain disruptions, or that the steps we are taking to mitigate such disruptions will be effective or achieve their desired results in a timely fashion.</w:t>
      </w:r>
    </w:p>
    <w:p>
      <w:pPr>
        <w:spacing w:after="0" w:line="69"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6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76" w:lineRule="exact"/>
        <w:rPr>
          <w:sz w:val="20"/>
          <w:szCs w:val="20"/>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achieving identified financial and operating synergies, including the integration of operations, services and products;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unknown liabilities;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unanticipated changes in the market conditions, business and economic factors affecting such an acquisition, joint venture or alliance.</w:t>
      </w:r>
    </w:p>
    <w:p>
      <w:pPr>
        <w:spacing w:after="0" w:line="129"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We cannot assure that we will be able to consummate any future acquisitions, joint ventures or other business combinations. If we are unable to identify or consummate suitable acquisitions, joint ventures or alliances,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62"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Although we believe that our recent acquisitions will improve our market position and realize positive operating results, including operating synergies, operating expense reductions and overhead cost savings, we cannot be assured that these 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79" w:lineRule="exact"/>
        <w:rPr>
          <w:sz w:val="20"/>
          <w:szCs w:val="20"/>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that an acquired business will achieve anticipated operating results;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expenses to integrate;</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business operations to integration matters;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departure of key personnel from the acquired business;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managing entrepreneurial spirit and decision-making;</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different information systems;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and exposure to unforeseen liabilities;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assets.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effects of COVID-19 and other potential future public health crises, epidemics, pandemics or similar events on our business, operating results and cash flows are uncertain.</w:t>
      </w:r>
    </w:p>
    <w:p>
      <w:pPr>
        <w:spacing w:after="0" w:line="6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We face a wide variety of risks related to health epidemics, pandemics and similar outbreaks, including the global outbreak of coronavirus disease 2019 ("COVID-19"). Since first reported in late 2019, the COVID-19 pandemic has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17"/>
          <w:szCs w:val="17"/>
          <w:color w:val="auto"/>
        </w:rPr>
        <w:t>dramatically impacted the global health and economic environment, including millions of confirmed cases, business slowdowns or shutdowns, government challenges and market volatility of an unprecedented nature. Although we have, to date, managed to continue most of our operations, we cannot predict the future course of events nor can we assure that this global pandemic, including its economic impact, will not have a material adverse impact on our business, financial position, results of operations and/or cash flows. The extent of the impact of the COVID-19 pandemic on our operational and financial performance remains uncertain and will depend on future pandemic related developments, including the duration of the pandemic, any potential subsequent waves of COVID-19 and new strains of the virus, the effectiveness, distribution and acceptance of COVID-19 vaccines, and related government actions to prevent and manage disease spread, all of which are uncertain and cannot be predicted. Our operations may be further impacted by the COVID-19 pandemic if significant portions of our workforce are unable to work effectively, including because of illness, quarantines, travel restrictions or absenteeism; steps the company has taken to protect health and well-being; government actions; facility closures; work slowdowns or stoppages; inadequate supplies or resources (such as reliable personal protective equipment, testing and vaccines); or other circumstances related to COVID-19. Governments around the world have taken steps to mitigate some of the more severe anticipated economic effects, but there can be no assurance that such steps will be effective or achieve their desired results in a timely fashion.</w:t>
      </w:r>
    </w:p>
    <w:p>
      <w:pPr>
        <w:spacing w:after="0" w:line="7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COVID-19 pandemic has resulted in operational and supply chain disruptions for us and our customers and may further adversely affect operations and the operations of our customers and suppliers. Accordingly, COVID-19 had a materially adverse impact on our operations and business results for the year ended December 31, 2020, and we expect COVID-19 to continue to have a materially adverse impact on our operations and business results into 2021. The spread of COVID-19 has caused us to modify our business practices and to implement significant proactive measures to protect the health and safety of employees, and we may take further actions as may be required by government authorities or as we determine are appropriate under the circumstances. There is no certainty that such measures will be sufficient to mitigate the continued risks posed by the pandemic.</w:t>
      </w:r>
    </w:p>
    <w:p>
      <w:pPr>
        <w:spacing w:after="0" w:line="5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COVID-19 pandemic and related volatility in financial markets and deterioration of national and global economic conditions could affect our business and operations in a variety of ways. For example, we have experienced and could experience further operational disruptions and financial losses as a result of the following:</w:t>
      </w:r>
    </w:p>
    <w:p>
      <w:pPr>
        <w:spacing w:after="0" w:line="76" w:lineRule="exact"/>
        <w:rPr>
          <w:sz w:val="20"/>
          <w:szCs w:val="20"/>
          <w:color w:val="auto"/>
        </w:rPr>
      </w:pPr>
    </w:p>
    <w:p>
      <w:pPr>
        <w:ind w:left="480" w:hanging="148"/>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demand for our products as a result of COVID-19 and cost control measures implemented by our customers;</w:t>
      </w:r>
    </w:p>
    <w:p>
      <w:pPr>
        <w:spacing w:after="0" w:line="117" w:lineRule="exact"/>
        <w:rPr>
          <w:rFonts w:ascii="Arial" w:cs="Arial" w:eastAsia="Arial" w:hAnsi="Arial"/>
          <w:sz w:val="18"/>
          <w:szCs w:val="18"/>
          <w:color w:val="auto"/>
        </w:rPr>
      </w:pPr>
    </w:p>
    <w:p>
      <w:pPr>
        <w:ind w:left="500" w:right="160" w:hanging="168"/>
        <w:spacing w:after="0" w:line="277"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orders or delivery of orders, the occurrence of which negatively impacts our cash conversion cycle and ability to convert our backlog into cash;</w:t>
      </w:r>
    </w:p>
    <w:p>
      <w:pPr>
        <w:spacing w:after="0" w:line="62" w:lineRule="exact"/>
        <w:rPr>
          <w:rFonts w:ascii="Arial" w:cs="Arial" w:eastAsia="Arial" w:hAnsi="Arial"/>
          <w:sz w:val="18"/>
          <w:szCs w:val="18"/>
          <w:color w:val="auto"/>
        </w:rPr>
      </w:pPr>
    </w:p>
    <w:p>
      <w:pPr>
        <w:ind w:left="480" w:hanging="148"/>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collect full or partial payments from customers due to deterioration in customer liquidity, including customer bankruptcies;</w:t>
      </w:r>
    </w:p>
    <w:p>
      <w:pPr>
        <w:spacing w:after="0" w:line="117" w:lineRule="exact"/>
        <w:rPr>
          <w:sz w:val="20"/>
          <w:szCs w:val="20"/>
          <w:color w:val="auto"/>
        </w:rPr>
      </w:pPr>
    </w:p>
    <w:p>
      <w:pPr>
        <w:ind w:left="340"/>
        <w:spacing w:after="0"/>
        <w:tabs>
          <w:tab w:leader="none" w:pos="9060" w:val="left"/>
        </w:tabs>
        <w:rPr>
          <w:sz w:val="20"/>
          <w:szCs w:val="20"/>
          <w:color w:val="auto"/>
        </w:rPr>
      </w:pPr>
      <w:r>
        <w:rPr>
          <w:rFonts w:ascii="Arial" w:cs="Arial" w:eastAsia="Arial" w:hAnsi="Arial"/>
          <w:sz w:val="18"/>
          <w:szCs w:val="18"/>
          <w:color w:val="auto"/>
        </w:rPr>
        <w:t>• a shutdown of one or multiple of our manufacturing facilities due to government restrictions or illness in connection</w:t>
      </w:r>
      <w:r>
        <w:rPr>
          <w:sz w:val="20"/>
          <w:szCs w:val="20"/>
          <w:color w:val="auto"/>
        </w:rPr>
        <w:tab/>
      </w:r>
      <w:r>
        <w:rPr>
          <w:rFonts w:ascii="Arial" w:cs="Arial" w:eastAsia="Arial" w:hAnsi="Arial"/>
          <w:sz w:val="17"/>
          <w:szCs w:val="17"/>
          <w:color w:val="auto"/>
        </w:rPr>
        <w:t>with COVID-19.</w:t>
      </w:r>
    </w:p>
    <w:p>
      <w:pPr>
        <w:spacing w:after="0" w:line="117"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The continued spread of COVID-19 has also led to disruption and volatility in the global capital markets, which depending on future developments may make it more costly or difficult for us to obtain debt or equity financing, including to refinance our existing debt, or to identify or execute on investment opportunities, in each case on terms and within time periods acceptable to us. We are also monitoring the impacts of COVID-19 on the fair value of our assets. While we do not currently anticipate any material impairments on our assets as a result of COVID-19, future changes in expectations for sales, earnings and cash flows related to intangible assets and goodwill below our current projections could cause these assets to be impaired.</w:t>
      </w:r>
    </w:p>
    <w:p>
      <w:pPr>
        <w:spacing w:after="0" w:line="5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continue to work with our stakeholders (including customers, employees, suppliers and local communities) in an effort to address responsibly this global pandemic. We continue to monitor the situation, to assess further possible implications to our employees, business, supply chain and customers, and to take certain actions in an effort to mitigate various adverse consequences.</w:t>
      </w:r>
    </w:p>
    <w:p>
      <w:pPr>
        <w:spacing w:after="0" w:line="7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expect that the longer the COVID-19 pandemic, including its economic disruption, continues, the greater the adverse impact on our business operations, financial performance and results of operations could be. Given the tremendous uncertainties and variables, we cannot at this time predict the impact of the global COVID-19 pandemic, or any future pandemic, but any one could have a material adverse impact on our business, financial position, results of operations and/or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our international operations, which exposes us to certain risks inherent in doing business on an international level.</w:t>
      </w:r>
    </w:p>
    <w:p>
      <w:pPr>
        <w:spacing w:after="0" w:line="62"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For the fiscal year ended December 31, 2020, approximately 58%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ind w:right="40"/>
        <w:spacing w:after="0" w:line="311" w:lineRule="auto"/>
        <w:rPr>
          <w:sz w:val="20"/>
          <w:szCs w:val="20"/>
          <w:color w:val="auto"/>
        </w:rPr>
      </w:pPr>
      <w:r>
        <w:rPr>
          <w:rFonts w:ascii="Arial" w:cs="Arial" w:eastAsia="Arial" w:hAnsi="Arial"/>
          <w:sz w:val="16"/>
          <w:szCs w:val="16"/>
          <w:color w:val="auto"/>
        </w:rPr>
        <w:t>through a variety of wholly and majority-owned subsidiaries and joint ventures, including in Australia, Austria, Brazil, Canada, China, Czech Republic, France, Germany, India, Italy, Macedonia, Mexico, the Netherlands, Poland, Russia, Spain, South Africa, Turkey, and the United Kingdom. As a result, we are subject to various risks, any one of which could have a material adverse effect on those operations and on our business as a whole, including:</w:t>
      </w:r>
    </w:p>
    <w:p>
      <w:pPr>
        <w:spacing w:after="0" w:line="41" w:lineRule="exact"/>
        <w:rPr>
          <w:sz w:val="20"/>
          <w:szCs w:val="20"/>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complete operating control;</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local business experience;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fluctuations and devaluations;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currency conversion or the transfer of funds or limitations on our ability to repatriate income or capital;</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complexities of operating within multiple tax jurisdictions;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trade restrictions and exchange controls;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impacts of international trade policies, such as import quotas, capital controls or tariffs;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enforcing agreements and intellectual property rights;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challenges of complying with complex and changing laws, regulations, and policies of foreign governments;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difficulties involved in staffing and managing widespread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for nationalization of enterprises;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social instability;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local catastrophes, such as natural disasters and epidemics;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terrorist attacks, conflicts and wars, including those against American interests.</w:t>
      </w:r>
    </w:p>
    <w:p>
      <w:pPr>
        <w:spacing w:after="0" w:line="117" w:lineRule="exact"/>
        <w:rPr>
          <w:sz w:val="20"/>
          <w:szCs w:val="20"/>
          <w:color w:val="auto"/>
        </w:rPr>
      </w:pPr>
    </w:p>
    <w:p>
      <w:pPr>
        <w:ind w:right="1060" w:firstLine="486"/>
        <w:spacing w:after="0" w:line="375" w:lineRule="auto"/>
        <w:rPr>
          <w:sz w:val="20"/>
          <w:szCs w:val="20"/>
          <w:color w:val="auto"/>
        </w:rPr>
      </w:pPr>
      <w:r>
        <w:rPr>
          <w:rFonts w:ascii="Arial" w:cs="Arial" w:eastAsia="Arial" w:hAnsi="Arial"/>
          <w:sz w:val="18"/>
          <w:szCs w:val="18"/>
          <w:color w:val="auto"/>
        </w:rPr>
        <w:t xml:space="preserve">Our exposure to the risks associated with international operations may intensify if our international operations expand in the future. </w:t>
      </w:r>
      <w:r>
        <w:rPr>
          <w:rFonts w:ascii="Arial" w:cs="Arial" w:eastAsia="Arial" w:hAnsi="Arial"/>
          <w:sz w:val="18"/>
          <w:szCs w:val="18"/>
          <w:b w:val="1"/>
          <w:bCs w:val="1"/>
          <w:i w:val="1"/>
          <w:iCs w:val="1"/>
          <w:color w:val="auto"/>
        </w:rPr>
        <w:t>We may incur increased costs due to fluctuations in interest rates and foreign currency exchange rates</w:t>
      </w:r>
    </w:p>
    <w:p>
      <w:pPr>
        <w:spacing w:after="0" w:line="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have substantial operations located in emerging markets, and are subject to regulatory, economic, social and political uncertainties in such markets.</w:t>
      </w:r>
    </w:p>
    <w:p>
      <w:pPr>
        <w:spacing w:after="0" w:line="6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substantial operations located in emerging markets, such as Brazil, India, Kazakhstan, the Russian Federation and Ukraine. Operations in such emerging markets are inherently risky due to a number of regulatory, economic, social and political uncertainties.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80"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RISKS RELATED TO MACRO-ECONOMIC CONDITIONS AND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Prolonged unfavorable economic and market conditions could adversely affect our business.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raw material shortages, supply shortages and fluctuations in raw material, energy and commodity prices.</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8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international trade policies, including tariffs and foreign trade restrictions, could adversely affect our business.</w:t>
      </w:r>
    </w:p>
    <w:p>
      <w:pPr>
        <w:spacing w:after="0" w:line="11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 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69" w:lineRule="exact"/>
        <w:rPr>
          <w:sz w:val="20"/>
          <w:szCs w:val="20"/>
          <w:color w:val="auto"/>
        </w:rPr>
      </w:pPr>
    </w:p>
    <w:p>
      <w:pPr>
        <w:jc w:val="both"/>
        <w:ind w:right="60" w:firstLine="486"/>
        <w:spacing w:after="0" w:line="311" w:lineRule="auto"/>
        <w:rPr>
          <w:sz w:val="20"/>
          <w:szCs w:val="20"/>
          <w:color w:val="auto"/>
        </w:rPr>
      </w:pPr>
      <w:r>
        <w:rPr>
          <w:rFonts w:ascii="Arial" w:cs="Arial" w:eastAsia="Arial" w:hAnsi="Arial"/>
          <w:sz w:val="16"/>
          <w:szCs w:val="16"/>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laws and regulations, including anti-corruption laws, in various jurisdictions.</w:t>
      </w:r>
    </w:p>
    <w:p>
      <w:pPr>
        <w:spacing w:after="0" w:line="11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5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addition, our manufacturing operations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are subject to a variety of environmental laws and regulations.</w:t>
      </w:r>
    </w:p>
    <w:p>
      <w:pPr>
        <w:spacing w:after="0" w:line="117" w:lineRule="exact"/>
        <w:rPr>
          <w:sz w:val="20"/>
          <w:szCs w:val="20"/>
          <w:color w:val="auto"/>
        </w:rPr>
      </w:pPr>
    </w:p>
    <w:p>
      <w:pPr>
        <w:ind w:right="180" w:firstLine="486"/>
        <w:spacing w:after="0" w:line="270" w:lineRule="auto"/>
        <w:rPr>
          <w:sz w:val="20"/>
          <w:szCs w:val="20"/>
          <w:color w:val="auto"/>
        </w:rPr>
      </w:pPr>
      <w:r>
        <w:rPr>
          <w:rFonts w:ascii="Arial" w:cs="Arial" w:eastAsia="Arial" w:hAnsi="Arial"/>
          <w:sz w:val="17"/>
          <w:szCs w:val="17"/>
          <w:color w:val="auto"/>
        </w:rPr>
        <w:t>We are subject to a variety of increasingly stringent environmental laws and regulations governing discharges to air and water, substances in products, the handling, storage and disposal of hazardous or solid waste materials and the remediation of contamination associated with releases of hazardous substances. We have incurred, and will continue to incur, both operating and capital costs to comply with environmental laws and regulations, 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7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In addition, certain of our products are subject to extensive, and increasingly stringent, statutory and regulatory requirements governing, </w:t>
      </w:r>
      <w:r>
        <w:rPr>
          <w:rFonts w:ascii="Arial" w:cs="Arial" w:eastAsia="Arial" w:hAnsi="Arial"/>
          <w:sz w:val="16"/>
          <w:szCs w:val="16"/>
          <w:i w:val="1"/>
          <w:iCs w:val="1"/>
          <w:color w:val="auto"/>
        </w:rPr>
        <w:t>e.g.</w:t>
      </w:r>
      <w:r>
        <w:rPr>
          <w:rFonts w:ascii="Arial" w:cs="Arial" w:eastAsia="Arial" w:hAnsi="Arial"/>
          <w:sz w:val="16"/>
          <w:szCs w:val="16"/>
          <w:color w:val="auto"/>
        </w:rPr>
        <w:t>,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6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potential challenges posed by evolving climate change policy and prospective legislation are heavily dependent on the nature and degree of climate change legislation and the extent to which it applies to our industry. While we are carefully monitoring developments and reviewing the challenges associated with alternative proposals, at this time, we cannot predict the ultimate impact of climate change and climate change legislation on our operations. Further, when or if these impacts may occur cannot be assessed until legislative policy is more developed and specific legislative proposals begin to take shape.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occurrence of litigation in which we are, or could be, named as a defendant is unpredictable.</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7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 matters, there can be no assurance that these indemnitors will remain financially viable and capable of satisfying their obligations.</w:t>
      </w:r>
    </w:p>
    <w:p>
      <w:pPr>
        <w:spacing w:after="0" w:line="70"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Any litigation, even a claim without merit, could result in substantial costs and diversion of resources and could have a material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manufacturer’s warranties or product liability may expose us to potentially significant claims.</w:t>
      </w:r>
    </w:p>
    <w:p>
      <w:pPr>
        <w:spacing w:after="0" w:line="11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RISKS RELATED TO DATA SECURITY AND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protect our intellectual property and other proprietary rights, we may be adversely affected.</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64"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cybersecurity and data protection risks relating to cyber attacks and information technology failures that could cause loss of confidential information and other business disruptions.</w:t>
      </w:r>
    </w:p>
    <w:p>
      <w:pPr>
        <w:spacing w:after="0" w:line="6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rely extensively on information technology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We also provide technological products integral to train operation. Accordingly, our business may be adversely impacted by disruptions to our own or third-party information technology infrastructure, which could result from individual or highly-coordinated cyber attacks, including but not limited to data theft, system breaches, malfeasance or improper use or unauthorized access to IT systems. Our business may also be adversely impacted by unintentional technology disruptions, including those resulting from programming errors, employee operational errors and software defects.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shortages and labor disputes may have a material adverse effect on our operations and profitability.</w:t>
      </w:r>
    </w:p>
    <w:p>
      <w:pPr>
        <w:spacing w:after="0" w:line="117"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7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8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personnel.</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 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right="460"/>
        <w:spacing w:after="0" w:line="277" w:lineRule="auto"/>
        <w:rPr>
          <w:sz w:val="20"/>
          <w:szCs w:val="20"/>
          <w:color w:val="auto"/>
        </w:rPr>
      </w:pPr>
      <w:r>
        <w:rPr>
          <w:rFonts w:ascii="Arial" w:cs="Arial" w:eastAsia="Arial" w:hAnsi="Arial"/>
          <w:sz w:val="18"/>
          <w:szCs w:val="18"/>
          <w:color w:val="auto"/>
        </w:rPr>
        <w:t>we may not be able to hire potential replacements on reasonable terms, all of which could adversely affect our product sales, financial condition,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At December 31, 2020, we had total debt of $4.2 billion, including $3.5 billion related to senior notes and $0.7 billion related to term loans and amounts drawn under our revolving loan facility, in each case, under the Senior Credit Facility. Being indebted could have important consequences to us. For example, our indebtedness could:</w:t>
      </w:r>
    </w:p>
    <w:p>
      <w:pPr>
        <w:spacing w:after="0" w:line="76" w:lineRule="exact"/>
        <w:rPr>
          <w:sz w:val="20"/>
          <w:szCs w:val="20"/>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620" w:right="100" w:hanging="329"/>
        <w:spacing w:after="0" w:line="27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industries in which we operate;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disadvantage compared to competitors that have less debt;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indentures for our outstanding senior notes and our Credit Agreement contain various covenants that limit our management’s discretion in the operation of our businesses.</w:t>
      </w:r>
    </w:p>
    <w:p>
      <w:pPr>
        <w:spacing w:after="0" w:line="62"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Credit Agreement subjects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 ratio of EBITDA to interest expense of at least 3.00 to 1.00 over each period of four consecutive fiscal quarters ending on the last day of a fiscal quarter and (ii) a Leverage Ratio, calculated as of the last day of a fiscal quarter for a period of four consecutive fiscal quarters, of 3.25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1.00 or less; provided that, in connection with the acquisition of GE Transportation and in the event of any further material acquisition in which the cash consideration to be paid exceeds $500.0 million, the maximum Leverage Ratio permitted adjusts to (x) 3.75 to 1.00 at the end of the fiscal quarter in which such acquisition is consummated and each of the three fiscal quarters immediately following such fiscal quarter and (y) 3.50 to 1.00 at the end of each of the fourth and fifth full fiscal quarters after the consummation of such acquisition.</w:t>
      </w:r>
    </w:p>
    <w:p>
      <w:pPr>
        <w:spacing w:after="0" w:line="8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250"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22" w:name="page23"/>
    <w:bookmarkEnd w:id="22"/>
    <w:p>
      <w:pPr>
        <w:ind w:left="20"/>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80" w:firstLine="486"/>
        <w:spacing w:after="0" w:line="295" w:lineRule="auto"/>
        <w:rPr>
          <w:sz w:val="20"/>
          <w:szCs w:val="20"/>
          <w:color w:val="auto"/>
        </w:rPr>
      </w:pPr>
      <w:r>
        <w:rPr>
          <w:rFonts w:ascii="Arial" w:cs="Arial" w:eastAsia="Arial" w:hAnsi="Arial"/>
          <w:sz w:val="16"/>
          <w:szCs w:val="16"/>
          <w:color w:val="auto"/>
        </w:rPr>
        <w:t>The following table provides certain summary information about the principal facilities owned or leased by the Company as of December 31, 2020.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46"/>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332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Primary Use</w:t>
            </w: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Segment</w:t>
            </w: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Own/Lease</w:t>
            </w:r>
          </w:p>
        </w:tc>
        <w:tc>
          <w:tcPr>
            <w:tcW w:w="1620" w:type="dxa"/>
            <w:vAlign w:val="bottom"/>
          </w:tcPr>
          <w:p>
            <w:pPr>
              <w:jc w:val="right"/>
              <w:ind w:right="112"/>
              <w:spacing w:after="0" w:line="146" w:lineRule="exact"/>
              <w:rPr>
                <w:sz w:val="20"/>
                <w:szCs w:val="20"/>
                <w:color w:val="auto"/>
              </w:rPr>
            </w:pPr>
            <w:r>
              <w:rPr>
                <w:rFonts w:ascii="Arial" w:cs="Arial" w:eastAsia="Arial" w:hAnsi="Arial"/>
                <w:sz w:val="14"/>
                <w:szCs w:val="14"/>
                <w:b w:val="1"/>
                <w:bCs w:val="1"/>
                <w:color w:val="auto"/>
              </w:rPr>
              <w:t>Approximate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20" w:type="dxa"/>
            <w:vAlign w:val="bottom"/>
            <w:gridSpan w:val="2"/>
            <w:vMerge w:val="continue"/>
          </w:tcPr>
          <w:p>
            <w:pPr>
              <w:spacing w:after="0"/>
              <w:rPr>
                <w:sz w:val="9"/>
                <w:szCs w:val="9"/>
                <w:color w:val="auto"/>
              </w:rPr>
            </w:pPr>
          </w:p>
        </w:tc>
        <w:tc>
          <w:tcPr>
            <w:tcW w:w="33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Square Feet</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w:t>
            </w:r>
          </w:p>
        </w:tc>
        <w:tc>
          <w:tcPr>
            <w:tcW w:w="1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Erie, PA</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Manufacturing/Warehouse/Office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Own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3,800,000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Grove City, PA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Manufacturing/Warehouse</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486,000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Wilmerding, PA</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Own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365,000</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Salem, VA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320,000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Justin, Texas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Manufacturing/Warehouse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Own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305,000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 Worth, Texas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Manufacturing/Warehouse</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304,000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Houston, Texas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Own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280,000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Hanover Park, Illinois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250,000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Pittsburgh, PA</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Global HQ</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Lease</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84,000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Shenyang, China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Manufacturing/Warehouse/Office</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336,000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Doncaster, UK</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Own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330,000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Changzhou, China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316,000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Northampton, UK</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Lease</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300,000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Shenyang City, China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291,000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Piossasco, Italy</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Own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301,000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Burton on Trent, UK</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Manufacturing/Office</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Transit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260,000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Bangalore, India</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Freight/Transit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Lease</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168,000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500" w:right="320" w:hanging="330"/>
        <w:spacing w:after="0" w:line="277"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250,000 square feet are currently used in connection with the Company’s manufacturing operations. The remainder is leased to a third party.</w:t>
      </w:r>
    </w:p>
    <w:p>
      <w:pPr>
        <w:spacing w:after="0" w:line="23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19 of “Notes to Consolidated Financial Statements” included in Part IV, Item 15 of this report and incorporated by reference herein.</w:t>
      </w:r>
    </w:p>
    <w:p>
      <w:pPr>
        <w:spacing w:after="0" w:line="23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1320" w:right="1160" w:hanging="1295"/>
        <w:spacing w:after="0" w:line="237" w:lineRule="auto"/>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Common Stock of the Company is listed on the New York Stock Exchange under the symbol “WAB.” As of February 12, 2021, there were 188,896,023 shares of Common Stock outstanding held by 119,046 holders of record.</w:t>
      </w:r>
    </w:p>
    <w:p>
      <w:pPr>
        <w:spacing w:after="0" w:line="6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2020, of Wabtec’s common stock to (i) the S&amp;P 500, (ii) our peer group of manufacturing companies which consists of the following publicly traded companies: AGCO, American Axle &amp; Manufacturing Holdings, AMETEK, Arconic, CSX, Dana, Dover, Flowserve, Fortive, Illinois Tool Works, Navistar International, Norfolk Southern, Oshkosh, Parker-Hannifin, Rockwell Automation, Tenneco, Terex, Textron, WABCO, and 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64135</wp:posOffset>
            </wp:positionV>
            <wp:extent cx="5863590" cy="3343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jc w:val="center"/>
        <w:ind w:right="-11"/>
        <w:spacing w:after="0"/>
        <w:rPr>
          <w:sz w:val="20"/>
          <w:szCs w:val="20"/>
          <w:color w:val="auto"/>
        </w:rPr>
      </w:pPr>
      <w:r>
        <w:rPr>
          <w:rFonts w:ascii="Arial" w:cs="Arial" w:eastAsia="Arial" w:hAnsi="Arial"/>
          <w:sz w:val="18"/>
          <w:szCs w:val="18"/>
          <w:b w:val="1"/>
          <w:bCs w:val="1"/>
          <w:color w:val="auto"/>
        </w:rPr>
        <w:t>Issuer 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-127635</wp:posOffset>
            </wp:positionV>
            <wp:extent cx="708914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7" w:lineRule="exact"/>
        <w:rPr>
          <w:sz w:val="20"/>
          <w:szCs w:val="20"/>
          <w:color w:val="auto"/>
        </w:rPr>
      </w:pPr>
    </w:p>
    <w:tbl>
      <w:tblPr>
        <w:tblLayout w:type="fixed"/>
        <w:tblInd w:w="32" w:type="dxa"/>
        <w:tblCellMar>
          <w:top w:w="0" w:type="dxa"/>
          <w:left w:w="0" w:type="dxa"/>
          <w:bottom w:w="0" w:type="dxa"/>
          <w:right w:w="0" w:type="dxa"/>
        </w:tblCellMar>
      </w:tblPr>
      <w:tr>
        <w:trPr>
          <w:trHeight w:val="169"/>
        </w:trPr>
        <w:tc>
          <w:tcPr>
            <w:tcW w:w="4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6"/>
              </w:rPr>
              <w:t>Maximum Dollar</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120" w:type="dxa"/>
            <w:vAlign w:val="bottom"/>
          </w:tcPr>
          <w:p>
            <w:pPr>
              <w:spacing w:after="0"/>
              <w:rPr>
                <w:sz w:val="15"/>
                <w:szCs w:val="15"/>
                <w:color w:val="auto"/>
              </w:rPr>
            </w:pPr>
          </w:p>
        </w:tc>
        <w:tc>
          <w:tcPr>
            <w:tcW w:w="15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7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0"/>
              </w:rPr>
              <w:t>Average Price Paid</w:t>
            </w:r>
          </w:p>
        </w:tc>
        <w:tc>
          <w:tcPr>
            <w:tcW w:w="17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120" w:type="dxa"/>
            <w:vAlign w:val="bottom"/>
          </w:tcPr>
          <w:p>
            <w:pPr>
              <w:spacing w:after="0"/>
              <w:rPr>
                <w:sz w:val="15"/>
                <w:szCs w:val="15"/>
                <w:color w:val="auto"/>
              </w:rPr>
            </w:pPr>
          </w:p>
        </w:tc>
        <w:tc>
          <w:tcPr>
            <w:tcW w:w="15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176"/>
        </w:trPr>
        <w:tc>
          <w:tcPr>
            <w:tcW w:w="4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1760" w:type="dxa"/>
            <w:vAlign w:val="bottom"/>
            <w:gridSpan w:val="2"/>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5"/>
                <w:szCs w:val="15"/>
                <w:color w:val="auto"/>
              </w:rPr>
            </w:pPr>
          </w:p>
        </w:tc>
        <w:tc>
          <w:tcPr>
            <w:tcW w:w="15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the Programs (1)</w:t>
            </w:r>
          </w:p>
        </w:tc>
        <w:tc>
          <w:tcPr>
            <w:tcW w:w="0" w:type="dxa"/>
            <w:vAlign w:val="bottom"/>
          </w:tcPr>
          <w:p>
            <w:pPr>
              <w:spacing w:after="0"/>
              <w:rPr>
                <w:sz w:val="1"/>
                <w:szCs w:val="1"/>
                <w:color w:val="auto"/>
              </w:rPr>
            </w:pPr>
          </w:p>
        </w:tc>
      </w:tr>
      <w:tr>
        <w:trPr>
          <w:trHeight w:val="229"/>
        </w:trPr>
        <w:tc>
          <w:tcPr>
            <w:tcW w:w="4240" w:type="dxa"/>
            <w:vAlign w:val="bottom"/>
            <w:gridSpan w:val="2"/>
            <w:vMerge w:val="continue"/>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8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per Share</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Programs (1)</w:t>
            </w:r>
          </w:p>
        </w:tc>
        <w:tc>
          <w:tcPr>
            <w:tcW w:w="120" w:type="dxa"/>
            <w:vAlign w:val="bottom"/>
          </w:tcPr>
          <w:p>
            <w:pPr>
              <w:spacing w:after="0"/>
              <w:rPr>
                <w:sz w:val="19"/>
                <w:szCs w:val="19"/>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92"/>
              </w:rPr>
              <w:t>In millions</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November 2020</w:t>
            </w:r>
          </w:p>
        </w:tc>
        <w:tc>
          <w:tcPr>
            <w:tcW w:w="1660" w:type="dxa"/>
            <w:vAlign w:val="bottom"/>
          </w:tcPr>
          <w:p>
            <w:pPr>
              <w:jc w:val="right"/>
              <w:spacing w:after="0"/>
              <w:rPr>
                <w:sz w:val="20"/>
                <w:szCs w:val="20"/>
                <w:color w:val="auto"/>
              </w:rPr>
            </w:pPr>
            <w:r>
              <w:rPr>
                <w:rFonts w:ascii="Arial" w:cs="Arial" w:eastAsia="Arial" w:hAnsi="Arial"/>
                <w:sz w:val="18"/>
                <w:szCs w:val="18"/>
                <w:color w:val="auto"/>
              </w:rPr>
              <w:t>1,096,678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65.61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1,096,678</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407,493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 quarter ended December 31, 2020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1,504,171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1,504,171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52" w:right="20" w:hanging="652"/>
        <w:spacing w:after="0" w:line="267" w:lineRule="auto"/>
        <w:tabs>
          <w:tab w:leader="none" w:pos="39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February 11, 2021, the Board of Directors increased its stock repurchase authorization to increase the amount available for stock repurchases to $500 million of the Company’s outstanding shares. This new stock repurchase authorization supersedes the previous authorization of $500 million, of which $292.5 million remained. No time limit was set for the completion of the program which conforms to the requirements under the Senior Credit Facility, the 364 Day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230" w:lineRule="exact"/>
        <w:rPr>
          <w:sz w:val="20"/>
          <w:szCs w:val="20"/>
          <w:color w:val="auto"/>
        </w:rPr>
      </w:pPr>
    </w:p>
    <w:p>
      <w:pPr>
        <w:ind w:left="12"/>
        <w:spacing w:after="0"/>
        <w:tabs>
          <w:tab w:leader="none" w:pos="129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49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25" w:name="page26"/>
    <w:bookmarkEnd w:id="25"/>
    <w:p>
      <w:pPr>
        <w:ind w:left="1320" w:right="1800" w:hanging="1295"/>
        <w:spacing w:after="0" w:line="237" w:lineRule="auto"/>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2020, approximately 58% of the Company’s net sales came from customers outside the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the year ended December 31, 2020.</w:t>
      </w:r>
    </w:p>
    <w:p>
      <w:pPr>
        <w:spacing w:after="0" w:line="58"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continue to monitor the situation and guidance from international and domestic authorities, including federal, state, and local public health authorities and may take additional actions based on their recommendations; however, there are numerous uncertainties, including the duration and severity of the pandemic, availability and effectiveness of vaccines, actions that may be taken by governmental authorities and private industry, including preventing or curtailing the operations of our plants, the potential impact on global economic activity, global supply chain operations, our employees, our customers, supplier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 COVID-19 had a materially adverse impact on our operations and business results for the year-ended December 31, 2020 which is discussed in the Results of Operations section below and we expect COVID-19 to continue to have a materially adverse impact on our operations and business results into 2021. The future adverse impact may include reduced demand for our products, reduced cash from operations and a volatile effective tax rate driven by changes in earnings mix across the Company’s different jurisdictions. We continue to work with our employees, customers, and suppliers to navigate the impacts of COVID-19. We also continue to assess possible implications to our business, customers, supply chain and end-markets and to take actions in an effort to mitigate adverse consequences.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Review and Future Outlook</w:t>
      </w:r>
    </w:p>
    <w:p>
      <w:pPr>
        <w:spacing w:after="0" w:line="11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4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26" w:name="page27"/>
    <w:bookmarkEnd w:id="26"/>
    <w:p>
      <w:pPr>
        <w:ind w:firstLine="486"/>
        <w:spacing w:after="0" w:line="293" w:lineRule="auto"/>
        <w:rPr>
          <w:sz w:val="20"/>
          <w:szCs w:val="20"/>
          <w:color w:val="auto"/>
        </w:rPr>
      </w:pPr>
      <w:r>
        <w:rPr>
          <w:rFonts w:ascii="Arial" w:cs="Arial" w:eastAsia="Arial" w:hAnsi="Arial"/>
          <w:sz w:val="16"/>
          <w:szCs w:val="16"/>
          <w:color w:val="auto"/>
        </w:rPr>
        <w:t>In 2021 and beyond, general global economic and market conditions will have an impact on our sales and operations. The COVID-19 pandemic has increased the uncertainty around global economic and market conditions.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GE TRANSPORTATION</w:t>
      </w:r>
    </w:p>
    <w:p>
      <w:pPr>
        <w:spacing w:after="0" w:line="1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Wabtec acquired GE Transportation, a former business unit of GE, on February 25, 2019. For additional information related to this acquisition refer to Note 3 of "Notes to Consolidated Financial Statements" included in Part IV, Item 15 of this report.</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2020 COMPARED TO 2019</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years indicated.</w:t>
      </w:r>
    </w:p>
    <w:p>
      <w:pPr>
        <w:spacing w:after="0" w:line="212"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5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59"/>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Arial" w:cs="Arial" w:eastAsia="Arial" w:hAnsi="Arial"/>
                <w:sz w:val="16"/>
                <w:szCs w:val="16"/>
                <w:color w:val="auto"/>
              </w:rPr>
              <w:t>Sales of goods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6,233.3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6,907.9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Sales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80" w:type="dxa"/>
            <w:vAlign w:val="bottom"/>
            <w:gridSpan w:val="2"/>
          </w:tcPr>
          <w:p>
            <w:pPr>
              <w:ind w:left="340"/>
              <w:spacing w:after="0"/>
              <w:rPr>
                <w:sz w:val="20"/>
                <w:szCs w:val="20"/>
                <w:color w:val="auto"/>
              </w:rPr>
            </w:pPr>
            <w:r>
              <w:rPr>
                <w:rFonts w:ascii="Arial" w:cs="Arial" w:eastAsia="Arial" w:hAnsi="Arial"/>
                <w:sz w:val="16"/>
                <w:szCs w:val="16"/>
                <w:color w:val="auto"/>
              </w:rPr>
              <w:t>Total net sales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8,200.0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Arial" w:cs="Arial" w:eastAsia="Arial" w:hAnsi="Arial"/>
                <w:sz w:val="16"/>
                <w:szCs w:val="16"/>
                <w:color w:val="auto"/>
              </w:rPr>
              <w:t>Cost of goods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Cost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(793.6)</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cost of sales</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(5,922.0)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Arial" w:cs="Arial" w:eastAsia="Arial" w:hAnsi="Arial"/>
                <w:sz w:val="16"/>
                <w:szCs w:val="16"/>
                <w:color w:val="auto"/>
              </w:rPr>
              <w:t>Engineering expenses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Other income and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Arial" w:cs="Arial" w:eastAsia="Arial" w:hAnsi="Arial"/>
                <w:sz w:val="16"/>
                <w:szCs w:val="16"/>
                <w:color w:val="auto"/>
              </w:rPr>
              <w:t>Less: Net loss attributable to noncontrolling interest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100"/>
              <w:spacing w:after="0"/>
              <w:rPr>
                <w:sz w:val="20"/>
                <w:szCs w:val="20"/>
                <w:color w:val="auto"/>
              </w:rPr>
            </w:pPr>
            <w:r>
              <w:rPr>
                <w:rFonts w:ascii="Arial" w:cs="Arial" w:eastAsia="Arial" w:hAnsi="Arial"/>
                <w:sz w:val="16"/>
                <w:szCs w:val="16"/>
                <w:color w:val="auto"/>
              </w:rPr>
              <w:t>Net income attributable to Wabtec shareholders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gridSpan w:val="2"/>
            <w:vMerge w:val="restart"/>
          </w:tcPr>
          <w:p>
            <w:pPr>
              <w:ind w:left="480"/>
              <w:spacing w:after="0"/>
              <w:rPr>
                <w:sz w:val="20"/>
                <w:szCs w:val="20"/>
                <w:color w:val="auto"/>
              </w:rPr>
            </w:pPr>
            <w:r>
              <w:rPr>
                <w:rFonts w:ascii="Arial" w:cs="Arial" w:eastAsia="Arial" w:hAnsi="Arial"/>
                <w:sz w:val="18"/>
                <w:szCs w:val="18"/>
                <w:color w:val="auto"/>
              </w:rPr>
              <w:t>The following table shows the major components of the change in net sales in 2020 from 2019:</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Freight Segment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Transit Segment</w:t>
            </w:r>
          </w:p>
        </w:tc>
        <w:tc>
          <w:tcPr>
            <w:tcW w:w="34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2019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8,200.0</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546.4</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Exchange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Organic</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2020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Results of operations were negatively impacted during the year ended December 31, 2020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results of operations.</w:t>
      </w:r>
    </w:p>
    <w:p>
      <w:pPr>
        <w:spacing w:after="0" w:line="5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following discussion compares our results for the year ended December 31, 2020, to the year ended December 31, 2019. The discussion comparing our results for the year ended December 31, 2019 to the year ended December 31, 2018 is included within Management's Discussion and Analysis of Financial Condition and Results of Operation in our Annual Report on Form 10-K for the year ended December 31, 2019, filed with the SEC on February 24,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Net sales decreased by $644 million, or 7.9%, to $7,556 million. The decrease is primarily attributable to an organic decrease of $833 million in the Freight Segment, due to lower locomotive Equipment sales, lower sales in Components from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right="160"/>
        <w:spacing w:after="0" w:line="275" w:lineRule="auto"/>
        <w:rPr>
          <w:sz w:val="20"/>
          <w:szCs w:val="20"/>
          <w:color w:val="auto"/>
        </w:rPr>
      </w:pPr>
      <w:r>
        <w:rPr>
          <w:rFonts w:ascii="Arial" w:cs="Arial" w:eastAsia="Arial" w:hAnsi="Arial"/>
          <w:sz w:val="17"/>
          <w:szCs w:val="17"/>
          <w:color w:val="auto"/>
        </w:rPr>
        <w:t>reduction of freight carbuilds in 2020 compared to 2019, a decrease in Services sales due to lower freight rail volumes and an increase in parking of locomotives, particularly in North America. The lower freight rail volumes and increased parking of locomotives is partially due to the COVID-19 pandemic and its impact on the economy. The Transit Segment experienced an organic decrease in sales of $307 million, primarily due to COVID-19 related production delays and reduced passenger traffic. The decrease is partially offset by sales from acquisitions of $546 million, mainly, the acquisition of GE Transportation. Unfavorable changes in foreign currency exchange rates reduced net sales by $50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Cost of sales decreased by $503 million to $5,419 million in 2020 compared to $5,922 million in 2019. The decrease is primarily due to the sales decreases discussed above. Cost of sales in 2020 includes $44 million of restructuring costs, primarily for footprint rationalization and related headcount reductions as part of the ongoing integration actions related to the GE Transportation acquisition and in response to the COVID-19 pandemic. Cost of sales in 2019 included a $185 million charge related to purchase price accounting for the step-up of GE Transportation inventory and $38 million of restructuring costs, primarily for footprint rationalization and related headcount actions. Excluding these charges in both years, cost of sales as a percentage of sales was 71.1% in 2020 and 69.5% in 2019, representing a 1.6% increase. The increase can be attributed to an unfavorable sales mix, lower absorption of overhead costs due to the decrease in sales volumes, increased parking of locomotives, and lower rail passenger traffic. This was partially offset by increased synergy savings related to the GE Transportation acquisition and actions taken to reduce costs in response to the COVID-19 pandemic.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Total operating expenses decreased $222 million to 18.4% of net sales in 2020 compared to 19.7% in 2019. Restructuring and transaction costs, primarily for headcount actions and costs related to acquisition of GE Transportation, included in SG&amp;A were $71 million and $192 million for the year ended December 31, 2020 and 2019, respectively. Additionally, SG&amp;A expenses decreased $155 million related to the acquisition synergy savings, reduced employee benefit costs, cost reduction initiatives and lower sales volumes, partially offset by $57 million of incremental expense from acquisitions. Engineering expense decreased $48 million due to cost control measures on research and development projects partially offset by incremental expense from acquisitions. Amortization expense increased $44 million, due to the acquisition of GE Transportation.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Interest expense, net, decreased $20 million in the 2020 over the same period in 2019 attributable to lower variable interest rates and lower overall average debt balances in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color w:val="auto"/>
        </w:rPr>
        <w:t>Other expense, net, was $12 million of income in 2020 compared to $3 million of income in the same period of 2019. The variance is primarily driven by lower foreign exchange losses in the current year and an increase in income from equity method investments.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effective income tax rate was 26.0% and 26.9% in 2020 and 2019, respectively. The decrease in the effective tax rate in 2020 is primarily the result of non-deductible transaction related expenses incurred during 2019 as a result of the GE Transportation acquisition that did not recur in 2020 and a decrease in the estimated liabilities resulting from provisions of the Tax Cuts and Jobs Act that were recognized in 2019.</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Consolidated Statements of Operations for our Freight Segment:</w:t>
      </w:r>
    </w:p>
    <w:p>
      <w:pPr>
        <w:spacing w:after="0" w:line="50"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7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59"/>
              <w:spacing w:after="0" w:line="175"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Arial" w:cs="Arial" w:eastAsia="Arial" w:hAnsi="Arial"/>
                <w:sz w:val="16"/>
                <w:szCs w:val="16"/>
                <w:color w:val="auto"/>
              </w:rPr>
              <w:t>Sales of goods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3,790.1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4,186.5</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1,292.2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1,254.9</w:t>
            </w:r>
          </w:p>
        </w:tc>
      </w:tr>
      <w:tr>
        <w:trPr>
          <w:trHeight w:val="207"/>
        </w:trPr>
        <w:tc>
          <w:tcPr>
            <w:tcW w:w="20" w:type="dxa"/>
            <w:vAlign w:val="bottom"/>
          </w:tcPr>
          <w:p>
            <w:pPr>
              <w:spacing w:after="0"/>
              <w:rPr>
                <w:sz w:val="17"/>
                <w:szCs w:val="17"/>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Total net sales</w:t>
            </w:r>
          </w:p>
        </w:tc>
        <w:tc>
          <w:tcPr>
            <w:tcW w:w="36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5,082.3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5,441.4</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Arial" w:cs="Arial" w:eastAsia="Arial" w:hAnsi="Arial"/>
                <w:sz w:val="16"/>
                <w:szCs w:val="16"/>
                <w:color w:val="auto"/>
              </w:rPr>
              <w:t>Cost of goods</w:t>
            </w: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(2,829.5)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(3,096.5)</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(764.8)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(763.5)</w:t>
            </w:r>
          </w:p>
        </w:tc>
      </w:tr>
      <w:tr>
        <w:trPr>
          <w:trHeight w:val="207"/>
        </w:trPr>
        <w:tc>
          <w:tcPr>
            <w:tcW w:w="20" w:type="dxa"/>
            <w:vAlign w:val="bottom"/>
            <w:tcBorders>
              <w:bottom w:val="single" w:sz="8" w:color="CCEEFF"/>
            </w:tcBorders>
          </w:tcPr>
          <w:p>
            <w:pPr>
              <w:spacing w:after="0"/>
              <w:rPr>
                <w:sz w:val="17"/>
                <w:szCs w:val="17"/>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cost of sales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(3,594.3)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(3,860.0)</w:t>
            </w:r>
          </w:p>
        </w:tc>
      </w:tr>
      <w:tr>
        <w:trPr>
          <w:trHeight w:val="132"/>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1,488.0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1,581.4</w:t>
            </w:r>
          </w:p>
        </w:tc>
      </w:tr>
      <w:tr>
        <w:trPr>
          <w:trHeight w:val="152"/>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(938.5)</w:t>
            </w:r>
          </w:p>
        </w:tc>
      </w:tr>
      <w:tr>
        <w:trPr>
          <w:trHeight w:val="132"/>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Income from operations ($)</w:t>
            </w:r>
          </w:p>
        </w:tc>
        <w:tc>
          <w:tcPr>
            <w:tcW w:w="3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642.9</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operations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378"/>
        </w:trPr>
        <w:tc>
          <w:tcPr>
            <w:tcW w:w="20" w:type="dxa"/>
            <w:vAlign w:val="bottom"/>
          </w:tcPr>
          <w:p>
            <w:pPr>
              <w:spacing w:after="0"/>
              <w:rPr>
                <w:sz w:val="24"/>
                <w:szCs w:val="24"/>
                <w:color w:val="auto"/>
              </w:rPr>
            </w:pPr>
          </w:p>
        </w:tc>
        <w:tc>
          <w:tcPr>
            <w:tcW w:w="9600" w:type="dxa"/>
            <w:vAlign w:val="bottom"/>
            <w:gridSpan w:val="5"/>
          </w:tcPr>
          <w:p>
            <w:pPr>
              <w:ind w:left="480"/>
              <w:spacing w:after="0"/>
              <w:rPr>
                <w:sz w:val="20"/>
                <w:szCs w:val="20"/>
                <w:color w:val="auto"/>
              </w:rPr>
            </w:pPr>
            <w:r>
              <w:rPr>
                <w:rFonts w:ascii="Arial" w:cs="Arial" w:eastAsia="Arial" w:hAnsi="Arial"/>
                <w:sz w:val="18"/>
                <w:szCs w:val="18"/>
                <w:color w:val="auto"/>
                <w:w w:val="95"/>
              </w:rPr>
              <w:t>The following table shows the major components of the change in net sales for the Freight Segment in 2020 from 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2019 Net Sales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5,441.4</w:t>
            </w:r>
          </w:p>
        </w:tc>
      </w:tr>
      <w:tr>
        <w:trPr>
          <w:trHeight w:val="213"/>
        </w:trPr>
        <w:tc>
          <w:tcPr>
            <w:tcW w:w="20" w:type="dxa"/>
            <w:vAlign w:val="bottom"/>
          </w:tcPr>
          <w:p>
            <w:pPr>
              <w:spacing w:after="0"/>
              <w:rPr>
                <w:sz w:val="18"/>
                <w:szCs w:val="18"/>
                <w:color w:val="auto"/>
              </w:rPr>
            </w:pPr>
          </w:p>
        </w:tc>
        <w:tc>
          <w:tcPr>
            <w:tcW w:w="7880" w:type="dxa"/>
            <w:vAlign w:val="bottom"/>
            <w:gridSpan w:val="2"/>
          </w:tcPr>
          <w:p>
            <w:pPr>
              <w:ind w:left="120"/>
              <w:spacing w:after="0"/>
              <w:rPr>
                <w:sz w:val="20"/>
                <w:szCs w:val="20"/>
                <w:color w:val="auto"/>
              </w:rPr>
            </w:pPr>
            <w:r>
              <w:rPr>
                <w:rFonts w:ascii="Arial" w:cs="Arial" w:eastAsia="Arial" w:hAnsi="Arial"/>
                <w:sz w:val="16"/>
                <w:szCs w:val="16"/>
                <w:color w:val="auto"/>
              </w:rPr>
              <w:t>Acquisitions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543.4</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Changes in Sales by Product Line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Arial" w:cs="Arial" w:eastAsia="Arial" w:hAnsi="Arial"/>
                <w:sz w:val="16"/>
                <w:szCs w:val="16"/>
                <w:color w:val="auto"/>
              </w:rPr>
              <w:t>Equipment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(333.9)</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Components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213"/>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Arial" w:cs="Arial" w:eastAsia="Arial" w:hAnsi="Arial"/>
                <w:sz w:val="16"/>
                <w:szCs w:val="16"/>
                <w:color w:val="auto"/>
              </w:rPr>
              <w:t>Digital Electronics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r>
      <w:tr>
        <w:trPr>
          <w:trHeight w:val="213"/>
        </w:trPr>
        <w:tc>
          <w:tcPr>
            <w:tcW w:w="20" w:type="dxa"/>
            <w:vAlign w:val="bottom"/>
            <w:tcBorders>
              <w:bottom w:val="single" w:sz="8" w:color="CCEEFF"/>
            </w:tcBorders>
          </w:tcPr>
          <w:p>
            <w:pPr>
              <w:spacing w:after="0"/>
              <w:rPr>
                <w:sz w:val="18"/>
                <w:szCs w:val="18"/>
                <w:color w:val="auto"/>
              </w:rPr>
            </w:pPr>
          </w:p>
        </w:tc>
        <w:tc>
          <w:tcPr>
            <w:tcW w:w="7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Foreign Exchange</w:t>
            </w:r>
          </w:p>
        </w:tc>
        <w:tc>
          <w:tcPr>
            <w:tcW w:w="3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r>
      <w:tr>
        <w:trPr>
          <w:trHeight w:val="233"/>
        </w:trPr>
        <w:tc>
          <w:tcPr>
            <w:tcW w:w="20" w:type="dxa"/>
            <w:vAlign w:val="bottom"/>
            <w:shd w:val="clear" w:color="auto" w:fill="CCEEFF"/>
          </w:tcPr>
          <w:p>
            <w:pPr>
              <w:spacing w:after="0"/>
              <w:rPr>
                <w:sz w:val="20"/>
                <w:szCs w:val="20"/>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2020 Net Sales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Freight Segment sales decreased by $359 million, or 6.6%, to $5,082 million, primarily due to an organic decrease of $833 million due to lower locomotive Equipment Sales, lower sales in Components from a reduction of freight carbuilds in 2020 compared to 2019, and a decrease in Services sales due to lower freight rail volumes and an increase in parking of locomotives, particularly in North America. The lower freight rail volumes and increased parking of locomotives is partially due to the COVID-19 pandemic and its impact on the economy. These decreases were partially offset by sales from acquisitions of $543 million, primarily related to GE Transportation. Unfavorable foreign currency exchange rates decreased sales by $69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Freight Segment cost of sales decreased by $266 million to $3,594 million in 2020. The decrease is attributable to the organic sales decrease discussed above, partially offset by $391 million of incremental cost of sales from acquisitions, mainly the acquisition of GE Transportation. Included in cost of sales in 2020 is $30 million of restructuring costs, primarily for costs for footprint rationalization, and related headcount actions as part of the ongoing integration actions related to the GE Transportation acquisition and in response to the COVID-19 pandemic. Cost of sales in 2019 includes a $185 million charge related to purchase price accounting for the step-up of GE Transportation inventory and $34 million of restructuring costs, primarily for costs for footprint rationalization and related headcount reductions to integrate our combined businesses. Excluding these charges, cost of sales as a percentage of sales was 70.1% in 2020 and 66.9% in 2019, representing a 3.2 percentage point increase. The increase can be attributed to an unfavorable sales mix and lower absorption of overhead costs due to the decrease in organic sales volumes partially offset by increased synergy savings related to the GE Transportation acquisition and efforts to reduce costs in response to the COVID-19 pandemic.</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Freight Segment operating expenses decreased $34 million, or 3.6%, in 2020 to 17.8% of sales. Restructuring and transaction costs, primarily for headcount actions and costs related to acquisition of GE Transportation, included in SG&amp;A were $46 million and $33 million for the years ended December 31, 2020 and 2019, respectively. SG&amp;A expenses, excluding restructuring and transaction costs in both years, decreased $116 million primarily due to synergy savings, a reduction in employee benefit costs, and lower sales volumes partially offset by $56 million in incremental expense from acquisitions, primarily GE Transportation. Additionally, engineering expense decreased $32 million due to cost control measures on research and development projects partially offset by incremental expense from acquisitions. Amortization expense increased $44 million, due to the acquisition of GE Transportation</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9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Consolidated Statements of Operations for our Transit Segment:</w:t>
      </w:r>
    </w:p>
    <w:p>
      <w:pPr>
        <w:spacing w:after="0" w:line="50"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7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59"/>
              <w:spacing w:after="0" w:line="175"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2,758.6</w:t>
            </w:r>
          </w:p>
        </w:tc>
      </w:tr>
      <w:tr>
        <w:trPr>
          <w:trHeight w:val="213"/>
        </w:trPr>
        <w:tc>
          <w:tcPr>
            <w:tcW w:w="20" w:type="dxa"/>
            <w:vAlign w:val="bottom"/>
            <w:tcBorders>
              <w:bottom w:val="single" w:sz="8" w:color="CCEEFF"/>
            </w:tcBorders>
          </w:tcPr>
          <w:p>
            <w:pPr>
              <w:spacing w:after="0"/>
              <w:rPr>
                <w:sz w:val="18"/>
                <w:szCs w:val="18"/>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(2,062.0)</w:t>
            </w: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696.6</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(482.2)</w:t>
            </w: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6"/>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operations ($)</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214.4</w:t>
            </w:r>
          </w:p>
        </w:tc>
      </w:tr>
      <w:tr>
        <w:trPr>
          <w:trHeight w:val="210"/>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Income from operations (%)</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384"/>
        </w:trPr>
        <w:tc>
          <w:tcPr>
            <w:tcW w:w="20" w:type="dxa"/>
            <w:vAlign w:val="bottom"/>
          </w:tcPr>
          <w:p>
            <w:pPr>
              <w:spacing w:after="0"/>
              <w:rPr>
                <w:sz w:val="24"/>
                <w:szCs w:val="24"/>
                <w:color w:val="auto"/>
              </w:rPr>
            </w:pPr>
          </w:p>
        </w:tc>
        <w:tc>
          <w:tcPr>
            <w:tcW w:w="9600" w:type="dxa"/>
            <w:vAlign w:val="bottom"/>
            <w:gridSpan w:val="5"/>
          </w:tcPr>
          <w:p>
            <w:pPr>
              <w:ind w:left="480"/>
              <w:spacing w:after="0"/>
              <w:rPr>
                <w:sz w:val="20"/>
                <w:szCs w:val="20"/>
                <w:color w:val="auto"/>
              </w:rPr>
            </w:pPr>
            <w:r>
              <w:rPr>
                <w:rFonts w:ascii="Arial" w:cs="Arial" w:eastAsia="Arial" w:hAnsi="Arial"/>
                <w:sz w:val="18"/>
                <w:szCs w:val="18"/>
                <w:color w:val="auto"/>
                <w:w w:val="96"/>
              </w:rPr>
              <w:t>The following table shows the major components of the change in net sales for the Transit Segment in 2020 from 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7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2019 Net Sales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2,758.6</w:t>
            </w: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0" w:type="dxa"/>
            <w:vAlign w:val="bottom"/>
          </w:tcPr>
          <w:p>
            <w:pPr>
              <w:spacing w:after="0"/>
              <w:rPr>
                <w:sz w:val="18"/>
                <w:szCs w:val="18"/>
                <w:color w:val="auto"/>
              </w:rPr>
            </w:pPr>
          </w:p>
        </w:tc>
        <w:tc>
          <w:tcPr>
            <w:tcW w:w="7880" w:type="dxa"/>
            <w:vAlign w:val="bottom"/>
            <w:gridSpan w:val="2"/>
          </w:tcPr>
          <w:p>
            <w:pPr>
              <w:ind w:left="120"/>
              <w:spacing w:after="0"/>
              <w:rPr>
                <w:sz w:val="20"/>
                <w:szCs w:val="20"/>
                <w:color w:val="auto"/>
              </w:rPr>
            </w:pPr>
            <w:r>
              <w:rPr>
                <w:rFonts w:ascii="Arial" w:cs="Arial" w:eastAsia="Arial" w:hAnsi="Arial"/>
                <w:sz w:val="16"/>
                <w:szCs w:val="16"/>
                <w:i w:val="1"/>
                <w:iCs w:val="1"/>
                <w:color w:val="auto"/>
              </w:rPr>
              <w:t>Changes in Sales by Product Line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Original Equipment Manufacturing</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3"/>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Arial" w:cs="Arial" w:eastAsia="Arial" w:hAnsi="Arial"/>
                <w:sz w:val="16"/>
                <w:szCs w:val="16"/>
                <w:color w:val="auto"/>
              </w:rPr>
              <w:t>Aftermarket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(148.2)</w:t>
            </w:r>
          </w:p>
        </w:tc>
      </w:tr>
      <w:tr>
        <w:trPr>
          <w:trHeight w:val="216"/>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Exchange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2020 Net Sales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2,473.8</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Transit Segment net sales decreased by $285 million, or 10.3%, primarily due to disruptions to our operations caused by the COVID-19 pandemic, particularly in Asia and Europe. This impact was felt in both the Original Equipment Manufacturing and Aftermarket product lines as the pandemic lead to shutdowns that affected factory output and ridership levels. Favorable foreign currency exchange rate changes increased net sales by $19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Transit Segment cost of sales decreased by $237 million to $1,825 million in 2020 primarily due to the reduction in sales. Cost of sales in 2020 includes $14 million of restructuring costs primarily for footprint rationalization in the UK. Cost of Sales in 2019 included $5 million of restructuring costs primarily related to headcount actions and footprint rationalization. Excluding these costs, cost of sales as a percentage of sales was 73.2%, a 1.4 percentage point decrease over the comparable period in 2019, attributable to improved operational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Transit Segment operating expenses decreased $63 million to $419 million, or 12.9% in 2020 to 17.0% of net sales. SG&amp;A expenses decreased $47 million in 2020, primarily due to lower sales and cost saving initiatives put in place to offset the adverse impact of COVID-19 and reduced employee benefit costs. SG&amp;A included restructuring charges, mainly for severance, of $14 million and $13 million for the year ended December 31, 2020 and 2019, respectively. Engineering expense decreased $16 million due to cost savings measures put in place as a result of the COVID-19 pandemic and amortization expense remained consistent year over year. The combination of improved operational performance and cost saving initiatives mentioned above have resulted in a 200 basis point operating margin improvement in 2020 from 2019.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Liquidity is provided by operating cash flow and borrowings under the Company’s Senior Notes and unsecured credit facility with a consortium of commercial banks.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80"/>
              <w:spacing w:after="0" w:line="182" w:lineRule="exact"/>
              <w:rPr>
                <w:sz w:val="20"/>
                <w:szCs w:val="20"/>
                <w:color w:val="auto"/>
              </w:rPr>
            </w:pPr>
            <w:r>
              <w:rPr>
                <w:rFonts w:ascii="Arial" w:cs="Arial" w:eastAsia="Arial" w:hAnsi="Arial"/>
                <w:sz w:val="18"/>
                <w:szCs w:val="18"/>
                <w:b w:val="1"/>
                <w:bCs w:val="1"/>
                <w:color w:val="auto"/>
                <w:w w:val="90"/>
              </w:rPr>
              <w:t>For the year ended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646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0"/>
              <w:spacing w:after="0" w:line="182" w:lineRule="exact"/>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for):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314.7</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29"/>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Proceeds from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w:t>
            </w:r>
          </w:p>
        </w:tc>
      </w:tr>
      <w:tr>
        <w:trPr>
          <w:trHeight w:val="230"/>
        </w:trPr>
        <w:tc>
          <w:tcPr>
            <w:tcW w:w="20" w:type="dxa"/>
            <w:vAlign w:val="bottom"/>
          </w:tcPr>
          <w:p>
            <w:pPr>
              <w:spacing w:after="0"/>
              <w:rPr>
                <w:sz w:val="19"/>
                <w:szCs w:val="19"/>
                <w:color w:val="auto"/>
              </w:rPr>
            </w:pPr>
          </w:p>
        </w:tc>
        <w:tc>
          <w:tcPr>
            <w:tcW w:w="6460" w:type="dxa"/>
            <w:vAlign w:val="bottom"/>
            <w:gridSpan w:val="2"/>
          </w:tcPr>
          <w:p>
            <w:pPr>
              <w:ind w:left="460"/>
              <w:spacing w:after="0"/>
              <w:rPr>
                <w:sz w:val="20"/>
                <w:szCs w:val="20"/>
                <w:color w:val="auto"/>
              </w:rPr>
            </w:pPr>
            <w:r>
              <w:rPr>
                <w:rFonts w:ascii="Arial" w:cs="Arial" w:eastAsia="Arial" w:hAnsi="Arial"/>
                <w:sz w:val="18"/>
                <w:szCs w:val="18"/>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(1,454.0)</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Cash dividends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bl>
    <w:p>
      <w:pPr>
        <w:spacing w:after="0" w:line="130" w:lineRule="exact"/>
        <w:rPr>
          <w:sz w:val="20"/>
          <w:szCs w:val="20"/>
          <w:color w:val="auto"/>
        </w:rPr>
      </w:pPr>
    </w:p>
    <w:p>
      <w:pPr>
        <w:ind w:right="100" w:firstLine="540"/>
        <w:spacing w:after="0" w:line="254"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provided by operations in 2020 was $784 million compared with $1,016 million in 2019. In comparison to 2019,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operations decreased due to an unfavorable change in other assets and liabilities of $492 million primarily due to the timing of payments related to accrued expenses including litigation settlements, unfavorable change in accounts payable of $125 million due to the timing of payments to suppliers, an unfavorable change in accrued liabilities and customer deposits of $80 million primarily related to the timing of accrued compensation payments and an unfavorable change in inventory of $75 million . These unfavorable changes were offset by higher net income of $86 million, a favorable change in non-cash items of $35 million related primarily to increased depreciation and amortization as a result of the acquisition of GE Transportation, and a favorable change in accounts receivable of $321 million due to improved collections and the acceleration of collections due to the newly implemented Revolving Receivable Program.</w:t>
      </w:r>
    </w:p>
    <w:p>
      <w:pPr>
        <w:spacing w:after="0" w:line="88"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 2020 and 2019, cash used in investing activities was $155 million and $3,178 million, respectively. The major components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cash outflow in 2020 was planned additions to property, plant, and equipment of $136 million for continued investments in our facilities and manufacturing processes, and $40 million in net cash paid for various small acquisitions. The major components of the cash outflow in 2019 was $185 million for additions to property, plant, and equipment and $2,996 million in net cash paid for various acquisitions, primarily GE Transportation.</w:t>
      </w:r>
    </w:p>
    <w:p>
      <w:pPr>
        <w:spacing w:after="0" w:line="49"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2020, cash used for financing activities was $619 million, which included net debt payments of $199 million, $115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contingent consideration payments, $93 million of dividend payments, and $207 million for share repurchases. In 2019, cash provided by financing activities was $462 million, which included net proceeds from debt of $559 million and dividend payments of $82 million.</w:t>
      </w:r>
    </w:p>
    <w:p>
      <w:pPr>
        <w:spacing w:after="0" w:line="5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COVID-19 pandemic had an adverse impact on cash from operating activities for the year ended December 31, 2020, and management expects the COVID-19 pandemic to negatively impact cash from operations into 2021. The extent and length of time in which the Company’s cash from operations will be negatively impacted is uncertain. Because of this uncertainty, the Company took prudent measures to decrease cash used for investing activities in 2020. Additionally, the Company implemented new debt arrangements and a receivables securitization program (described below) as part of its liquidity planning. These measures further strengthen our liquidity position as we address the impacts of the COVID-19 pandemic. Management continues to monitor the rapidly evolving situation and will periodically reassess and adjust the Company’s cash management strategy as circumstances dictate.</w:t>
      </w:r>
    </w:p>
    <w:p>
      <w:pPr>
        <w:spacing w:after="0" w:line="5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of December 31, 2020, the Company held approximately $599 million of cash and cash equivalents. Of this amount, approximately $108 million was held within the United States and approximately $491 million was held outside of the United States, primarily in Europe, India and China. While repatriation of some cash held outside the United States may be restricted by local laws, most of the Company’s foreign cash could be repatriated to the United States.</w:t>
      </w:r>
    </w:p>
    <w:p>
      <w:pPr>
        <w:spacing w:after="0" w:line="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Additional information with respect to Senior Notes, credit facilities and long-term debt is included in Note 8 of "Notes to Consolidated Financial Statements” included in Part IV, Item 15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May 2020, the Company entered into a revolving agreement to transfer up to $150.0 million of certain receivables of certain subsidiaries of the Company (the "Originators") through our bankruptcy-remote subsidiary to a financial institution on a recurring basis in exchange for cash equal to the gross receivables transferred. Additional information with respect to the Revolving Receivables Program is included in Note 2 of "Notes to Consolidated Financial Statements" included in Part IV, Item 15 of this report and referenced herein.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Supply Chain Financing Program</w:t>
      </w:r>
    </w:p>
    <w:p>
      <w:pPr>
        <w:spacing w:after="0" w:line="117"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The Company has entered into supply chain financing arrangements with third-party financial institutions to provide our vendors with enhanced payment options. This arrangement does not change the payable terms negotiated by the Company and our vendors and does not result in a change in the classification of amounts due as accounts payable in the Consolidated Balance Sheet.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The obligations under the Company's Senior Notes,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w:t>
      </w:r>
    </w:p>
    <w:p>
      <w:pPr>
        <w:spacing w:after="0" w:line="4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following tables present summarized financial information of the parent and the guarantor subsidiaries on a combined basis.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3"/>
              </w:rPr>
              <w:t>Unaudited</w:t>
            </w:r>
          </w:p>
        </w:tc>
      </w:tr>
      <w:tr>
        <w:trPr>
          <w:trHeight w:val="147"/>
        </w:trPr>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r>
      <w:tr>
        <w:trPr>
          <w:trHeight w:val="158"/>
        </w:trPr>
        <w:tc>
          <w:tcPr>
            <w:tcW w:w="6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92"/>
              </w:rPr>
              <w:t>In millions</w:t>
            </w:r>
          </w:p>
        </w:tc>
        <w:tc>
          <w:tcPr>
            <w:tcW w:w="6560" w:type="dxa"/>
            <w:vAlign w:val="bottom"/>
          </w:tcPr>
          <w:p>
            <w:pPr>
              <w:spacing w:after="0"/>
              <w:rPr>
                <w:sz w:val="13"/>
                <w:szCs w:val="13"/>
                <w:color w:val="auto"/>
              </w:rPr>
            </w:pPr>
          </w:p>
        </w:tc>
        <w:tc>
          <w:tcPr>
            <w:tcW w:w="4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Year Ended December 31, 2020</w:t>
            </w:r>
          </w:p>
        </w:tc>
      </w:tr>
      <w:tr>
        <w:trPr>
          <w:trHeight w:val="21"/>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9"/>
                <w:szCs w:val="19"/>
                <w:color w:val="auto"/>
              </w:rPr>
            </w:pPr>
          </w:p>
        </w:tc>
        <w:tc>
          <w:tcPr>
            <w:tcW w:w="1920" w:type="dxa"/>
            <w:vAlign w:val="bottom"/>
          </w:tcPr>
          <w:p>
            <w:pPr>
              <w:jc w:val="right"/>
              <w:ind w:right="14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4,047.9</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930.4</w:t>
            </w: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r>
      <w:tr>
        <w:trPr>
          <w:trHeight w:val="378"/>
        </w:trPr>
        <w:tc>
          <w:tcPr>
            <w:tcW w:w="20" w:type="dxa"/>
            <w:vAlign w:val="bottom"/>
          </w:tcPr>
          <w:p>
            <w:pPr>
              <w:spacing w:after="0"/>
              <w:rPr>
                <w:sz w:val="24"/>
                <w:szCs w:val="24"/>
                <w:color w:val="auto"/>
              </w:rPr>
            </w:pPr>
          </w:p>
        </w:tc>
        <w:tc>
          <w:tcPr>
            <w:tcW w:w="662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Summarized Balance Sheet</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gridSpan w:val="3"/>
          </w:tcPr>
          <w:p>
            <w:pPr>
              <w:jc w:val="center"/>
              <w:ind w:left="1435"/>
              <w:spacing w:after="0"/>
              <w:rPr>
                <w:sz w:val="20"/>
                <w:szCs w:val="20"/>
                <w:color w:val="auto"/>
              </w:rPr>
            </w:pPr>
            <w:r>
              <w:rPr>
                <w:rFonts w:ascii="Arial" w:cs="Arial" w:eastAsia="Arial" w:hAnsi="Arial"/>
                <w:sz w:val="14"/>
                <w:szCs w:val="14"/>
                <w:b w:val="1"/>
                <w:bCs w:val="1"/>
                <w:color w:val="auto"/>
                <w:w w:val="93"/>
              </w:rPr>
              <w:t>Unaudited</w:t>
            </w:r>
          </w:p>
        </w:tc>
        <w:tc>
          <w:tcPr>
            <w:tcW w:w="18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Westinghouse Air Brake Technologies Corp. and Guarantor Subsidiaries</w:t>
            </w:r>
          </w:p>
        </w:tc>
      </w:tr>
      <w:tr>
        <w:trPr>
          <w:trHeight w:val="161"/>
        </w:trPr>
        <w:tc>
          <w:tcPr>
            <w:tcW w:w="20" w:type="dxa"/>
            <w:vAlign w:val="bottom"/>
          </w:tcPr>
          <w:p>
            <w:pPr>
              <w:spacing w:after="0"/>
              <w:rPr>
                <w:sz w:val="13"/>
                <w:szCs w:val="13"/>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Pr>
          <w:p>
            <w:pPr>
              <w:spacing w:after="0"/>
              <w:rPr>
                <w:sz w:val="13"/>
                <w:szCs w:val="13"/>
                <w:color w:val="auto"/>
              </w:rPr>
            </w:pPr>
          </w:p>
        </w:tc>
        <w:tc>
          <w:tcPr>
            <w:tcW w:w="1840" w:type="dxa"/>
            <w:vAlign w:val="bottom"/>
          </w:tcPr>
          <w:p>
            <w:pPr>
              <w:jc w:val="right"/>
              <w:ind w:right="452"/>
              <w:spacing w:after="0"/>
              <w:rPr>
                <w:sz w:val="20"/>
                <w:szCs w:val="20"/>
                <w:color w:val="auto"/>
              </w:rPr>
            </w:pPr>
            <w:r>
              <w:rPr>
                <w:rFonts w:ascii="Arial" w:cs="Arial" w:eastAsia="Arial" w:hAnsi="Arial"/>
                <w:sz w:val="14"/>
                <w:szCs w:val="14"/>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1,835.7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1,974.3</w:t>
            </w: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w:t>
            </w:r>
          </w:p>
        </w:tc>
      </w:tr>
      <w:tr>
        <w:trPr>
          <w:trHeight w:val="230"/>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3,779.6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4,321.8</w:t>
            </w: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r>
    </w:tbl>
    <w:p>
      <w:pPr>
        <w:spacing w:after="0" w:line="14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guarantor subsidiaries with non-guarantor subsidiaries.</w:t>
      </w: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3"/>
              </w:rPr>
              <w:t>Unaudited</w:t>
            </w:r>
          </w:p>
        </w:tc>
      </w:tr>
      <w:tr>
        <w:trPr>
          <w:trHeight w:val="147"/>
        </w:trPr>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r>
      <w:tr>
        <w:trPr>
          <w:trHeight w:val="158"/>
        </w:trPr>
        <w:tc>
          <w:tcPr>
            <w:tcW w:w="6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92"/>
              </w:rPr>
              <w:t>In millions</w:t>
            </w:r>
          </w:p>
        </w:tc>
        <w:tc>
          <w:tcPr>
            <w:tcW w:w="6560" w:type="dxa"/>
            <w:vAlign w:val="bottom"/>
          </w:tcPr>
          <w:p>
            <w:pPr>
              <w:spacing w:after="0"/>
              <w:rPr>
                <w:sz w:val="13"/>
                <w:szCs w:val="13"/>
                <w:color w:val="auto"/>
              </w:rPr>
            </w:pPr>
          </w:p>
        </w:tc>
        <w:tc>
          <w:tcPr>
            <w:tcW w:w="4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Year Ended December 31, 2020</w:t>
            </w:r>
          </w:p>
        </w:tc>
      </w:tr>
      <w:tr>
        <w:trPr>
          <w:trHeight w:val="21"/>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60" w:type="dxa"/>
            <w:vAlign w:val="bottom"/>
          </w:tcPr>
          <w:p>
            <w:pPr>
              <w:jc w:val="right"/>
              <w:spacing w:after="0"/>
              <w:rPr>
                <w:sz w:val="20"/>
                <w:szCs w:val="20"/>
                <w:color w:val="auto"/>
              </w:rPr>
            </w:pPr>
            <w:r>
              <w:rPr>
                <w:rFonts w:ascii="Arial" w:cs="Arial" w:eastAsia="Arial" w:hAnsi="Arial"/>
                <w:sz w:val="18"/>
                <w:szCs w:val="18"/>
                <w:color w:val="auto"/>
              </w:rPr>
              <w:t>674.7</w:t>
            </w:r>
          </w:p>
        </w:tc>
      </w:tr>
      <w:tr>
        <w:trPr>
          <w:trHeight w:val="230"/>
        </w:trPr>
        <w:tc>
          <w:tcPr>
            <w:tcW w:w="2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14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Arial" w:cs="Arial" w:eastAsia="Arial" w:hAnsi="Arial"/>
                <w:sz w:val="18"/>
                <w:szCs w:val="18"/>
                <w:color w:val="auto"/>
              </w:rPr>
              <w:t>1,895.9</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Unaudited</w:t>
            </w: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Subsidiaries</w:t>
            </w:r>
          </w:p>
        </w:tc>
      </w:tr>
      <w:tr>
        <w:trPr>
          <w:trHeight w:val="158"/>
        </w:trPr>
        <w:tc>
          <w:tcPr>
            <w:tcW w:w="20" w:type="dxa"/>
            <w:vAlign w:val="bottom"/>
          </w:tcPr>
          <w:p>
            <w:pPr>
              <w:spacing w:after="0"/>
              <w:rPr>
                <w:sz w:val="13"/>
                <w:szCs w:val="13"/>
                <w:color w:val="auto"/>
              </w:rPr>
            </w:pPr>
          </w:p>
        </w:tc>
        <w:tc>
          <w:tcPr>
            <w:tcW w:w="72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3"/>
                <w:szCs w:val="13"/>
                <w:color w:val="auto"/>
              </w:rPr>
            </w:pPr>
          </w:p>
        </w:tc>
        <w:tc>
          <w:tcPr>
            <w:tcW w:w="3860" w:type="dxa"/>
            <w:vAlign w:val="bottom"/>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Company is obligated to make future payments under various contracts such as debt agreements, lease agreements and has certain contingent commitments such as debt guarantees.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1 - 3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3 - 5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r>
      <w:tr>
        <w:trPr>
          <w:trHeight w:val="181"/>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114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w w:val="95"/>
              </w:rPr>
              <w:t>1 year</w:t>
            </w:r>
          </w:p>
        </w:tc>
        <w:tc>
          <w:tcPr>
            <w:tcW w:w="300" w:type="dxa"/>
            <w:vAlign w:val="bottom"/>
          </w:tcPr>
          <w:p>
            <w:pPr>
              <w:spacing w:after="0"/>
              <w:rPr>
                <w:sz w:val="15"/>
                <w:szCs w:val="15"/>
                <w:color w:val="auto"/>
              </w:rPr>
            </w:pPr>
          </w:p>
        </w:tc>
        <w:tc>
          <w:tcPr>
            <w:tcW w:w="1140" w:type="dxa"/>
            <w:vAlign w:val="bottom"/>
            <w:gridSpan w:val="2"/>
          </w:tcPr>
          <w:p>
            <w:pPr>
              <w:ind w:left="180"/>
              <w:spacing w:after="0" w:line="181" w:lineRule="exact"/>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5"/>
                <w:szCs w:val="15"/>
                <w:color w:val="auto"/>
              </w:rPr>
            </w:pPr>
          </w:p>
        </w:tc>
        <w:tc>
          <w:tcPr>
            <w:tcW w:w="114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5"/>
                <w:szCs w:val="15"/>
                <w:color w:val="auto"/>
              </w:rPr>
            </w:pPr>
          </w:p>
        </w:tc>
        <w:tc>
          <w:tcPr>
            <w:tcW w:w="1140" w:type="dxa"/>
            <w:vAlign w:val="bottom"/>
          </w:tcPr>
          <w:p>
            <w:pPr>
              <w:jc w:val="right"/>
              <w:ind w:right="339"/>
              <w:spacing w:after="0" w:line="181" w:lineRule="exact"/>
              <w:rPr>
                <w:sz w:val="20"/>
                <w:szCs w:val="20"/>
                <w:color w:val="auto"/>
              </w:rPr>
            </w:pPr>
            <w:r>
              <w:rPr>
                <w:rFonts w:ascii="Arial" w:cs="Arial" w:eastAsia="Arial" w:hAnsi="Arial"/>
                <w:sz w:val="16"/>
                <w:szCs w:val="16"/>
                <w:b w:val="1"/>
                <w:bCs w:val="1"/>
                <w:color w:val="auto"/>
              </w:rPr>
              <w:t>5 years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Arial" w:cs="Arial" w:eastAsia="Arial" w:hAnsi="Arial"/>
                <w:sz w:val="16"/>
                <w:szCs w:val="16"/>
                <w:color w:val="auto"/>
              </w:rPr>
              <w:t>Purchase obligations (1)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Operating leases (2)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30"/>
        </w:trPr>
        <w:tc>
          <w:tcPr>
            <w:tcW w:w="20" w:type="dxa"/>
            <w:vAlign w:val="bottom"/>
          </w:tcPr>
          <w:p>
            <w:pPr>
              <w:spacing w:after="0"/>
              <w:rPr>
                <w:sz w:val="19"/>
                <w:szCs w:val="19"/>
                <w:color w:val="auto"/>
              </w:rPr>
            </w:pPr>
          </w:p>
        </w:tc>
        <w:tc>
          <w:tcPr>
            <w:tcW w:w="4120" w:type="dxa"/>
            <w:vAlign w:val="bottom"/>
            <w:gridSpan w:val="2"/>
          </w:tcPr>
          <w:p>
            <w:pPr>
              <w:ind w:left="200"/>
              <w:spacing w:after="0"/>
              <w:rPr>
                <w:sz w:val="20"/>
                <w:szCs w:val="20"/>
                <w:color w:val="auto"/>
              </w:rPr>
            </w:pPr>
            <w:r>
              <w:rPr>
                <w:rFonts w:ascii="Arial" w:cs="Arial" w:eastAsia="Arial" w:hAnsi="Arial"/>
                <w:sz w:val="16"/>
                <w:szCs w:val="16"/>
                <w:color w:val="auto"/>
              </w:rPr>
              <w:t>Pension benefit payments (3)</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97.3</w:t>
            </w: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Postretirement benefit payments (4)</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payments (5)</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r>
      <w:tr>
        <w:trPr>
          <w:trHeight w:val="213"/>
        </w:trPr>
        <w:tc>
          <w:tcPr>
            <w:tcW w:w="2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Arial" w:cs="Arial" w:eastAsia="Arial" w:hAnsi="Arial"/>
                <w:sz w:val="16"/>
                <w:szCs w:val="16"/>
                <w:color w:val="auto"/>
              </w:rPr>
              <w:t>Long-term debt (6)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1,990.5</w:t>
            </w:r>
          </w:p>
        </w:tc>
      </w:tr>
      <w:tr>
        <w:trPr>
          <w:trHeight w:val="21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Dividends to shareholders (7)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Standby letters of credit (8)</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r>
      <w:tr>
        <w:trPr>
          <w:trHeight w:val="212"/>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6,530.8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2,587.9</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20" w:hanging="329"/>
        <w:spacing w:after="0" w:line="259"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2020. In addition, the Company had $1.1 billion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78" w:lineRule="exact"/>
        <w:rPr>
          <w:rFonts w:ascii="Arial" w:cs="Arial" w:eastAsia="Arial" w:hAnsi="Arial"/>
          <w:sz w:val="18"/>
          <w:szCs w:val="18"/>
          <w:color w:val="auto"/>
        </w:rPr>
      </w:pPr>
    </w:p>
    <w:p>
      <w:pPr>
        <w:ind w:left="620" w:right="180" w:hanging="329"/>
        <w:spacing w:after="0" w:line="277"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minimum payments for operating leases are disclosed by year in Note 15 of the “Notes to Consolidated Financial Statements” included in Part IV, Item 15 of this report.</w:t>
      </w:r>
    </w:p>
    <w:p>
      <w:pPr>
        <w:spacing w:after="0" w:line="62" w:lineRule="exact"/>
        <w:rPr>
          <w:rFonts w:ascii="Arial" w:cs="Arial" w:eastAsia="Arial" w:hAnsi="Arial"/>
          <w:sz w:val="18"/>
          <w:szCs w:val="18"/>
          <w:color w:val="auto"/>
        </w:rPr>
      </w:pPr>
    </w:p>
    <w:p>
      <w:pPr>
        <w:ind w:left="620" w:right="100" w:hanging="329"/>
        <w:spacing w:after="0" w:line="279" w:lineRule="auto"/>
        <w:tabs>
          <w:tab w:leader="none" w:pos="6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Annual payments to participants are expected to continue into the foreseeable future at the amounts or ranges noted. Pension benefit payments are based on actuarial estimates using current assumptions for discount rates, expected return on long-term assets and rate of compensation increases. The Company expects to contribute about $7.3 million to pension plan investments in 2021. See further disclosure in Note 10 of the “Notes to Consolidated Financial Statements” included in Part IV, Item 15 of this report.</w:t>
      </w:r>
    </w:p>
    <w:p>
      <w:pPr>
        <w:spacing w:after="0" w:line="63" w:lineRule="exact"/>
        <w:rPr>
          <w:rFonts w:ascii="Arial" w:cs="Arial" w:eastAsia="Arial" w:hAnsi="Arial"/>
          <w:sz w:val="17"/>
          <w:szCs w:val="17"/>
          <w:color w:val="auto"/>
        </w:rPr>
      </w:pPr>
    </w:p>
    <w:p>
      <w:pPr>
        <w:ind w:left="620" w:right="160" w:hanging="329"/>
        <w:spacing w:after="0" w:line="277"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payments to participants are expected to continue into the foreseeable future at the amounts or ranges noted. Postretirement payments are based on actuarial estimates using current assumptions for discount rates and health care costs.</w:t>
      </w:r>
    </w:p>
    <w:p>
      <w:pPr>
        <w:spacing w:after="0" w:line="62" w:lineRule="exact"/>
        <w:rPr>
          <w:rFonts w:ascii="Arial" w:cs="Arial" w:eastAsia="Arial" w:hAnsi="Arial"/>
          <w:sz w:val="18"/>
          <w:szCs w:val="18"/>
          <w:color w:val="auto"/>
        </w:rPr>
      </w:pPr>
    </w:p>
    <w:p>
      <w:pPr>
        <w:ind w:left="620" w:hanging="329"/>
        <w:spacing w:after="0" w:line="255"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payments are payable February and August of each year at 4.375% of $250 million Senior Notes due in 2023. Interest payments are payable May and September of each year at 4.15% of $750 million Senior Notes due 2024. Interest payments are payable June and December of each year at 3.20% of the $500 million Senior Notes due in 2025. Interest payments are payable May and November of each year at 3.45% of $750 million Senior Notes due in 2026. Interest payments are payable March and September of each year at 4.7% of $1,250 million Senior Note due 2028. Interest payments for the Revolving Credit Facility and Other Borrowings are based on contractual terms and the Company’s current interest rates.</w:t>
      </w:r>
    </w:p>
    <w:p>
      <w:pPr>
        <w:spacing w:after="0" w:line="84" w:lineRule="exact"/>
        <w:rPr>
          <w:rFonts w:ascii="Arial" w:cs="Arial" w:eastAsia="Arial" w:hAnsi="Arial"/>
          <w:sz w:val="18"/>
          <w:szCs w:val="18"/>
          <w:color w:val="auto"/>
        </w:rPr>
      </w:pPr>
    </w:p>
    <w:p>
      <w:pPr>
        <w:ind w:left="620" w:right="40" w:hanging="329"/>
        <w:spacing w:after="0" w:line="277"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Scheduled principal repayments of outstanding loan balances are disclosed in Note 9 of the “Notes to Consolidated Financial Statements” included in Part IV, Item 15 of this report.</w:t>
      </w:r>
    </w:p>
    <w:p>
      <w:pPr>
        <w:spacing w:after="0" w:line="62" w:lineRule="exact"/>
        <w:rPr>
          <w:rFonts w:ascii="Arial" w:cs="Arial" w:eastAsia="Arial" w:hAnsi="Arial"/>
          <w:sz w:val="18"/>
          <w:szCs w:val="18"/>
          <w:color w:val="auto"/>
        </w:rPr>
      </w:pPr>
    </w:p>
    <w:p>
      <w:pPr>
        <w:ind w:left="600" w:hanging="309"/>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Shareholder dividends are subject to approval by the Company’s Board of Directors, currently at an annual rate of approximately $90.7 million.</w:t>
      </w:r>
    </w:p>
    <w:p>
      <w:pPr>
        <w:spacing w:after="0" w:line="140" w:lineRule="exact"/>
        <w:rPr>
          <w:rFonts w:ascii="Arial" w:cs="Arial" w:eastAsia="Arial" w:hAnsi="Arial"/>
          <w:sz w:val="16"/>
          <w:szCs w:val="16"/>
          <w:color w:val="auto"/>
        </w:rPr>
      </w:pPr>
    </w:p>
    <w:p>
      <w:pPr>
        <w:ind w:left="620" w:right="40" w:hanging="329"/>
        <w:spacing w:after="0" w:line="342" w:lineRule="auto"/>
        <w:tabs>
          <w:tab w:leader="none" w:pos="6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$736.6 million of standby letters of credit is comprised of outstanding letters of credit for performance and bid bond purposes, which expire in various dates through 2039. Amounts include interest payments based on contractual terms and the Company’s current interest rate.</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ind w:right="580" w:firstLine="486"/>
        <w:spacing w:after="0" w:line="277" w:lineRule="auto"/>
        <w:rPr>
          <w:sz w:val="20"/>
          <w:szCs w:val="20"/>
          <w:color w:val="auto"/>
        </w:rPr>
      </w:pPr>
      <w:r>
        <w:rPr>
          <w:rFonts w:ascii="Arial" w:cs="Arial" w:eastAsia="Arial" w:hAnsi="Arial"/>
          <w:sz w:val="18"/>
          <w:szCs w:val="18"/>
          <w:color w:val="auto"/>
        </w:rPr>
        <w:t>The above table does not reflect uncertain tax positions of $16.4 million, the timing of which are uncertain. Refer to Note 11 of the “Notes to Consolidated Financial Statements” for additional information on uncertain tax positions.</w:t>
      </w:r>
    </w:p>
    <w:p>
      <w:pPr>
        <w:spacing w:after="0" w:line="62" w:lineRule="exact"/>
        <w:rPr>
          <w:sz w:val="20"/>
          <w:szCs w:val="20"/>
          <w:color w:val="auto"/>
        </w:rPr>
      </w:pPr>
    </w:p>
    <w:p>
      <w:pPr>
        <w:ind w:right="420" w:firstLine="486"/>
        <w:spacing w:after="0" w:line="296" w:lineRule="auto"/>
        <w:rPr>
          <w:sz w:val="20"/>
          <w:szCs w:val="20"/>
          <w:color w:val="auto"/>
        </w:rPr>
      </w:pPr>
      <w:r>
        <w:rPr>
          <w:rFonts w:ascii="Arial" w:cs="Arial" w:eastAsia="Arial" w:hAnsi="Arial"/>
          <w:sz w:val="16"/>
          <w:szCs w:val="16"/>
          <w:i w:val="1"/>
          <w:iCs w:val="1"/>
          <w:color w:val="auto"/>
        </w:rPr>
        <w:t xml:space="preserve">Obligations for operating activities. </w:t>
      </w:r>
      <w:r>
        <w:rPr>
          <w:rFonts w:ascii="Arial" w:cs="Arial" w:eastAsia="Arial" w:hAnsi="Arial"/>
          <w:sz w:val="16"/>
          <w:szCs w:val="16"/>
          <w:color w:val="auto"/>
        </w:rPr>
        <w:t>The Company has entered into $98.5 million of material long-term non-cancelable materials and supply</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obligations. Operating leases represent multi-year obligations for rental of facilities and equipment. Estimated pension funding and post-retirement benefit payments are based on actuarial estimates using current assumptions for discount rates, expected return on long-term assets, rate of compensation increases and health care cost trend rates. Benefits paid for pension obligations were $17.3 million and $16.0 million in 2020 and 2019, respectively. Benefits paid for post-retirement plans were $0.9 million and $1.0 million in 2020 and in 2019, respectively.</w:t>
      </w:r>
    </w:p>
    <w:p>
      <w:pPr>
        <w:spacing w:after="0" w:line="5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Obligations for financing activities. </w:t>
      </w:r>
      <w:r>
        <w:rPr>
          <w:rFonts w:ascii="Arial" w:cs="Arial" w:eastAsia="Arial" w:hAnsi="Arial"/>
          <w:sz w:val="18"/>
          <w:szCs w:val="18"/>
          <w:color w:val="auto"/>
        </w:rPr>
        <w:t>Cash requirements for financing activities consist primarily of long-term debt repayments, interest payments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payments to shareholders. The Company has historically paid quarterly dividends to shareholders, subject to quarterly approval by our Board of Directors, currently at a rate of approximately $90.7 million annually.</w:t>
      </w:r>
    </w:p>
    <w:p>
      <w:pPr>
        <w:spacing w:after="0" w:line="7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arranges for performance bonds to be issued by third party insurance companies to support certain long term customer contracts. At December 31, 2020, the initial value of performance bonds issued on the Company’s behalf is about $878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121" w:lineRule="exact"/>
        <w:rPr>
          <w:sz w:val="20"/>
          <w:szCs w:val="20"/>
          <w:color w:val="auto"/>
        </w:rPr>
      </w:pPr>
    </w:p>
    <w:p>
      <w:pPr>
        <w:ind w:left="620" w:right="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121" w:lineRule="exact"/>
        <w:rPr>
          <w:sz w:val="20"/>
          <w:szCs w:val="20"/>
          <w:color w:val="auto"/>
        </w:rPr>
      </w:pPr>
    </w:p>
    <w:p>
      <w:pPr>
        <w:ind w:left="620" w:hanging="329"/>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supply disruptions including but not limited to disease outbreak, fires, earthquakes, explosions, floods, tornadoes, hurricanes or weather conditions;</w:t>
      </w:r>
    </w:p>
    <w:p>
      <w:pPr>
        <w:spacing w:after="0" w:line="140" w:lineRule="exact"/>
        <w:rPr>
          <w:rFonts w:ascii="Arial" w:cs="Arial" w:eastAsia="Arial" w:hAnsi="Arial"/>
          <w:sz w:val="16"/>
          <w:szCs w:val="16"/>
          <w:color w:val="auto"/>
        </w:rPr>
      </w:pPr>
    </w:p>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6" w:name="page37"/>
    <w:bookmarkEnd w:id="36"/>
    <w:p>
      <w:pPr>
        <w:ind w:left="620" w:hanging="329"/>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17" w:lineRule="exact"/>
        <w:rPr>
          <w:rFonts w:ascii="Arial" w:cs="Arial" w:eastAsia="Arial" w:hAnsi="Arial"/>
          <w:sz w:val="18"/>
          <w:szCs w:val="18"/>
          <w:color w:val="auto"/>
        </w:rPr>
      </w:pPr>
    </w:p>
    <w:p>
      <w:pPr>
        <w:ind w:left="620" w:right="20" w:hanging="329"/>
        <w:spacing w:after="0" w:line="263"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75" w:lineRule="exact"/>
        <w:rPr>
          <w:rFonts w:ascii="Arial" w:cs="Arial" w:eastAsia="Arial" w:hAnsi="Arial"/>
          <w:sz w:val="18"/>
          <w:szCs w:val="18"/>
          <w:color w:val="auto"/>
        </w:rPr>
      </w:pPr>
    </w:p>
    <w:p>
      <w:pPr>
        <w:ind w:left="620" w:hanging="329"/>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GE Transportation;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costs, charges or expenses resulting from the GE Transportation acquisition;</w:t>
      </w:r>
    </w:p>
    <w:p>
      <w:pPr>
        <w:spacing w:after="0" w:line="117" w:lineRule="exact"/>
        <w:rPr>
          <w:rFonts w:ascii="Arial" w:cs="Arial" w:eastAsia="Arial" w:hAnsi="Arial"/>
          <w:sz w:val="18"/>
          <w:szCs w:val="18"/>
          <w:color w:val="auto"/>
        </w:rPr>
      </w:pPr>
    </w:p>
    <w:p>
      <w:pPr>
        <w:ind w:left="620" w:right="160" w:hanging="329"/>
        <w:spacing w:after="0" w:line="277"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GE Transportation acquisition, including as a result of integrating GE Transportation into Wabtec; or</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and duration of the evolving COVID-19 pandemic and the resulting impact on the global economy;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121" w:lineRule="exact"/>
        <w:rPr>
          <w:sz w:val="20"/>
          <w:szCs w:val="20"/>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Political/governmental factors</w:t>
      </w:r>
    </w:p>
    <w:p>
      <w:pPr>
        <w:spacing w:after="0" w:line="121" w:lineRule="exact"/>
        <w:rPr>
          <w:sz w:val="20"/>
          <w:szCs w:val="20"/>
          <w:color w:val="auto"/>
        </w:rPr>
      </w:pPr>
    </w:p>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11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Statements in this 10-K apply only as of the date on which such statements are made, and we undertake no obligation to update any statement to reflect events or circumstances after the date on which the statement is made or to reflect the occurrence of unanticipated events.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business combinations, the testing of goodwill and other intangibles for impairment, warranty reserves, stock based compensation, income taxes, and revenue recognition. Management uses historical experience and all available information to make these judgments and estimates, and actual results will inevitably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w:t>
      </w:r>
    </w:p>
    <w:p>
      <w:pPr>
        <w:spacing w:after="0" w:line="5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A summary of the Company’s significant accounting policies is included in Note 2 in the “Notes to Consolidated Financial Statements” included in Part IV, Item 15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an allowance for doubtful accounts to cover anticipated losses on uncollectible accounts receivable.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allowance for doubtful accounts receivable reflects our best estimate of expected losses inherent in our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determined on the basis of historical experience, relevant credit forecast information, changes to customer's solvency and other currently available evidence.</w:t>
      </w:r>
    </w:p>
    <w:p>
      <w:pPr>
        <w:spacing w:after="0" w:line="7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our estimates regarding the collectability of troubled accounts, and/or our actual losses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portfolio exceed our estimated losses, we may be exposed to the expense of increasing our allowance for doubtful accounts.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Inventories are stated at the lower of cost or net realizable value and are reviewed to ensure that an adequate provision is recognized for excess,</w:t>
      </w:r>
      <w:r>
        <w:rPr>
          <w:rFonts w:ascii="Arial" w:cs="Arial" w:eastAsia="Arial" w:hAnsi="Arial"/>
          <w:sz w:val="18"/>
          <w:szCs w:val="18"/>
          <w:i w:val="1"/>
          <w:iCs w:val="1"/>
          <w:color w:val="auto"/>
        </w:rPr>
        <w:t xml:space="preserve"> </w:t>
      </w:r>
      <w:r>
        <w:rPr>
          <w:rFonts w:ascii="Arial" w:cs="Arial" w:eastAsia="Arial" w:hAnsi="Arial"/>
          <w:sz w:val="18"/>
          <w:szCs w:val="18"/>
          <w:color w:val="auto"/>
        </w:rPr>
        <w:t>slow moving and obsolete inventories, and net realizable value reserves.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Cost is determined under the first-in, first-out (FIFO) method. Inventory costs include material, labor and overhead.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compares inventory components to prior year sales history and current backlog and anticipated future requirements. To the extent that inventory parts exceed estimated usage and demand, a reserve is recognized to reduce the carrying value of inventory. Also, specific reserves are established for known inventory obsolescence, a decline in market value, or loss of a customer with specific inventory.</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If the market value or demand for of our products were to decrease due to changing market conditions,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could be at risk of incurring write-downs to adjust inventory value to a net realizable value lower than stated cost. If our estimates regarding sales and backlog requirements are inaccurate, we may be exposed to the expense of increasing our reserves for slow moving and obsolete inventory.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accounts for business acquisitions in accordance with ASC 805, Business Combinations which requires the purchase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Discounted cash flow models are used to estimate the fair values of acquired contract backlog, customer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intangibles, and below-market customer contract liabilities. The significant assumptions used to estimate the value of the intangible assets and below-market customer contract liabilities included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Different assumptions may result in materially different values for assets acquired and liabilities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impact the Company's financial position and future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Intangibles:</w:t>
      </w:r>
    </w:p>
    <w:p>
      <w:pPr>
        <w:spacing w:after="0" w:line="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Goodwill and indefinite-lived intangibles are required to be tested for impairment at least annually. The Company performs its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during the fourth quarter and more frequently when indicators of impairment are present. The Company reviews goodwill for impairment at the reporting unit level. The Company has identified three reporting units for purposes of testing goodwill for impairment. Two reporting units exist within the freight segment and the transit segment is also a reporting unit. The evaluation of impairment involves comparing the current fair value of the business to the recorded value (including goodwill).</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A number of significant assumptions and estimates are involved in the application of the impairment test,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of macroeconomic conditions, industry and market considerations, cost factors, overall financial performance, Wabtec specific events and share price trends and making the assessment on whether each relevant factor will impact the impairment test positively or negatively and the magnitude of any such amount.</w:t>
      </w:r>
    </w:p>
    <w:p>
      <w:pPr>
        <w:spacing w:after="0" w:line="7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Management considers historical experience and all available information at the time the fair values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are estimated. However, actual amounts realized may differ from those used to evaluate the impairment of goodwill. If actual results are not consistent with our assumptions and judgments used in estimating future cash flows and asset fair values, we may be exposed to impairment losses that could be material to our results of operations. For example, based on the quantitative analysis performed as of October 1, 2020, a decline in the terminal growth rate by 100 basis points would decrease fair market value by $1,218 million, or an increase in the weighted-average cost of capital by 100 basis points would result in a decrease in fair market value by $2,031 million. Even with such changes the fair value of the reporting units would be greater than their net book values. At December 31, 2020, all three of the Company’s reporting units had fair values which were substantially in excess of their carrying values</w:t>
      </w:r>
      <w:r>
        <w:rPr>
          <w:rFonts w:ascii="Arial" w:cs="Arial" w:eastAsia="Arial" w:hAnsi="Arial"/>
          <w:sz w:val="19"/>
          <w:szCs w:val="19"/>
          <w:color w:val="auto"/>
        </w:rPr>
        <w:t>.</w:t>
      </w:r>
      <w:r>
        <w:rPr>
          <w:rFonts w:ascii="Arial" w:cs="Arial" w:eastAsia="Arial" w:hAnsi="Arial"/>
          <w:sz w:val="18"/>
          <w:szCs w:val="18"/>
          <w:color w:val="auto"/>
        </w:rPr>
        <w:t xml:space="preserve"> See Note 2 in the “Notes to Consolidated Financial Statements” included in Part IV, Item 15 of this report for additional discussion regarding impairment testing.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Reserves: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warranty reserves to cover expected costs from repairing or replacing products with durability, quality or workmanship</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occurring during established warranty periods.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In general, reserves are provided for as a percentage of sales, based on historical experience. In addition, specific reserves are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for known warranty issues and their estimable losses.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ind w:right="38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actual results are not consistent with the assumptions and judgments used to calculate our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may be exposed to the expense of increasing our reserves for warranty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has issued incentive stock units to eligible employees that vest upon attainment of certain cumulative three-year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program is structured as a rolling three-year plan; each year starts a new three-year performance cycle with the most recently completed cycle being 2018-2020. No incentive stock units will vest for performance below the three-year cumulative threshold. The Company utilizes an economic profit measure for this performance goal. Economic profit is a measure of the extent to which the Company produces financial results in excess of its cost of capital. Based on the Company’s achievement of the threshold and three-year cumulative performance, the stock units vested can range from 0% to 200% of the shares granted.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Judgments and Uncertainties </w:t>
      </w:r>
      <w:r>
        <w:rPr>
          <w:rFonts w:ascii="Arial" w:cs="Arial" w:eastAsia="Arial" w:hAnsi="Arial"/>
          <w:sz w:val="16"/>
          <w:szCs w:val="16"/>
          <w:color w:val="auto"/>
        </w:rPr>
        <w:t>Significant judgments and estimates are used in determining the estimated three-year performance, which is then used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 the total shares expected to vest over the three year vesting cycle and corresponding expense based on the grant date fair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 When determining the estimated three-year performance, the Company utilizes a combination of historical actual results, budgeted results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forecasts. Upon the initial grant of a performance cycle, the Company estimates the three-year performance at 100%. As actual performance results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cycle begin to accumulate and the Company completes its budgeting and forecasting cycles the performance estimates are updated. These judgments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estimates are reviewed and updated on a quarterly basis.</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assumptions used in determining the estimated three-year performance change significantly, stock-based compensation expense related to the unvested incentive stock awards can fluctuate from period to period. For example, a 10% decrease or increase in the estimated vesting percentage for incentive stock awards would decrease or increase stock-based compensation expense by approximately $2.5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Wabtec records an estimated liability or benefit for income and other taxes based on what it determines will likely be paid in various tax</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it operates in accordance with ASC 740-10 Accounting for Income Taxes and Accounting for Uncertainty in Income Taxes.</w:t>
      </w:r>
    </w:p>
    <w:p>
      <w:pPr>
        <w:spacing w:after="0" w:line="16"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The estimate of our tax obligations are uncertain because Management must use judgment to estimate the exposures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Management uses its best judgment in the determination of these amounts. However, the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new information changes the expected outcome of an uncertain tax position. A deferred tax valuation allowance is provided when it is more likely than not that some portion or all of the deferred tax assets will not be realized.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Revenue is recognized in accordance with ASC 606 “Revenue from Contracts with Customers.” Company recognizes a portion of its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on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Accounting for long-term customer agreements involves a judgmental process of estimating the total sales and costs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subcontracts that may be associated with the contract. Factors that influence these estimates include inflationary trends, technical and schedule risk, internal and subcontractor performance trends, business volume assumptions, asset utilization, and anticipated labor agreements. Generally, pricing is defined in our contracts but may include an estimate of variable consideration when required by the terms of the individual customer contract. Types 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right="620"/>
        <w:spacing w:after="0" w:line="277" w:lineRule="auto"/>
        <w:rPr>
          <w:sz w:val="20"/>
          <w:szCs w:val="20"/>
          <w:color w:val="auto"/>
        </w:rPr>
      </w:pPr>
      <w:r>
        <w:rPr>
          <w:rFonts w:ascii="Arial" w:cs="Arial" w:eastAsia="Arial" w:hAnsi="Arial"/>
          <w:sz w:val="18"/>
          <w:szCs w:val="18"/>
          <w:color w:val="auto"/>
        </w:rPr>
        <w:t>variable consideration that the Company typically has include volume discounts, prompt payment discounts, liquidating damages, and performance bonuses.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Should market conditions and customer demands dictate changes to our standard shipping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judgments in the estimation process, it is likely that materially different revenue amounts could be recorded if we used different assumptions or if the underlying circumstances were to change. Changes in underlying assumptions/estimates, supplier performance, or circumstances may adversely or positively affect financial performance in future periods. Some of our contracts are expected to be completed in a loss position. Provisions are made currently for estimated losses on uncompleted contracts.</w:t>
      </w:r>
    </w:p>
    <w:p>
      <w:pPr>
        <w:spacing w:after="0" w:line="241"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15% and 32% of total debt at December 31, 2020 and 2019, respectively. On an annual basis, a 1% change in the interest rate for variable rate debt at December 31, 2020, would increase or decrease interest expense by about $6.5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The Company is exposed to certain risks associated with changes in foreign currency exchange rates to the extent our operations are conducted in currencies other than the U.S. dollar. To reduce the impact of changes in currency exchange rates, the Company has periodically entered into foreign currency forward contracts. Refer to “Financial Derivatives and Hedging Activities” in Notes 2 and 20 of “Notes to Consolidated Financial Statements” included in Part IV, Item 15 of this report for more information regarding foreign currency exchange risk and sales by geographic area.</w:t>
      </w:r>
    </w:p>
    <w:p>
      <w:pPr>
        <w:spacing w:after="0" w:line="221"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statements and supplementary data are set forth in Item 15 of Part IV hereof.</w:t>
      </w:r>
    </w:p>
    <w:p>
      <w:pPr>
        <w:spacing w:after="0" w:line="28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disagreements with our independent registered public accountants.</w:t>
      </w:r>
    </w:p>
    <w:p>
      <w:pPr>
        <w:spacing w:after="0" w:line="28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December 31, 2020.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December 31, 2020,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IV, Item 15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Management’s Report on Internal Control Over Financial Reporting appears on page 46.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Ernst &amp; Young LLP's attestation report on internal control over financial reporting appears on page 49.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line="86"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19, 2021, except for the Equity Compensation Plan Information required by Item 12, which is set forth in the table below. The definitive Proxy Statement will be filed with the Securities and Exchange Commission not later than 120 days after December 31, 2020. Information relating to the executive officers of the Company is set forth in Part I.</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Wabtec has adopted a Code of Business Conduct and Ethics which is applicable to our executive officers. This Code of Business Conduct and Ethics is posted on our website at </w:t>
      </w:r>
      <w:r>
        <w:rPr>
          <w:rFonts w:ascii="Arial" w:cs="Arial" w:eastAsia="Arial" w:hAnsi="Arial"/>
          <w:sz w:val="18"/>
          <w:szCs w:val="18"/>
          <w:i w:val="1"/>
          <w:iCs w:val="1"/>
          <w:color w:val="auto"/>
        </w:rPr>
        <w:t>www.wabteccorp.com</w:t>
      </w:r>
      <w:r>
        <w:rPr>
          <w:rFonts w:ascii="Arial" w:cs="Arial" w:eastAsia="Arial" w:hAnsi="Arial"/>
          <w:sz w:val="18"/>
          <w:szCs w:val="18"/>
          <w:color w:val="auto"/>
        </w:rPr>
        <w:t>. In the event that we make any amendments to or waivers from this code, we will disclose the amendment or waiver and the reasons for such on our website.</w:t>
      </w:r>
    </w:p>
    <w:p>
      <w:pPr>
        <w:spacing w:after="0" w:line="76" w:lineRule="exact"/>
        <w:rPr>
          <w:sz w:val="20"/>
          <w:szCs w:val="20"/>
          <w:color w:val="auto"/>
        </w:rPr>
      </w:pPr>
    </w:p>
    <w:p>
      <w:pPr>
        <w:ind w:right="1040" w:firstLine="486"/>
        <w:spacing w:after="0" w:line="269" w:lineRule="auto"/>
        <w:rPr>
          <w:sz w:val="20"/>
          <w:szCs w:val="20"/>
          <w:color w:val="auto"/>
        </w:rPr>
      </w:pPr>
      <w:r>
        <w:rPr>
          <w:rFonts w:ascii="Arial" w:cs="Arial" w:eastAsia="Arial" w:hAnsi="Arial"/>
          <w:sz w:val="18"/>
          <w:szCs w:val="18"/>
          <w:color w:val="auto"/>
        </w:rPr>
        <w:t>This table provides aggregate information as of December 31, 2020 concerning equity awards under Wabtec’s compensation plans and arrangements.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36" w:lineRule="exact"/>
        <w:rPr>
          <w:sz w:val="20"/>
          <w:szCs w:val="20"/>
          <w:color w:val="auto"/>
        </w:rPr>
      </w:pPr>
    </w:p>
    <w:p>
      <w:pPr>
        <w:ind w:left="20"/>
        <w:spacing w:after="0" w:line="325" w:lineRule="auto"/>
        <w:rPr>
          <w:sz w:val="20"/>
          <w:szCs w:val="20"/>
          <w:color w:val="auto"/>
        </w:rPr>
      </w:pPr>
      <w:r>
        <w:rPr>
          <w:rFonts w:ascii="Arial" w:cs="Arial" w:eastAsia="Arial" w:hAnsi="Arial"/>
          <w:sz w:val="16"/>
          <w:szCs w:val="16"/>
          <w:color w:val="auto"/>
        </w:rPr>
        <w:t>Equity compensation plans approved by shareholders Equity compensation plans not approved by shareholders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2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w:t>
            </w: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2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Number of securities to</w:t>
            </w:r>
          </w:p>
        </w:tc>
        <w:tc>
          <w:tcPr>
            <w:tcW w:w="160" w:type="dxa"/>
            <w:vAlign w:val="bottom"/>
          </w:tcPr>
          <w:p>
            <w:pPr>
              <w:spacing w:after="0"/>
              <w:rPr>
                <w:sz w:val="11"/>
                <w:szCs w:val="11"/>
                <w:color w:val="auto"/>
              </w:rPr>
            </w:pPr>
          </w:p>
        </w:tc>
        <w:tc>
          <w:tcPr>
            <w:tcW w:w="2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2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be issued upon exercise</w:t>
            </w:r>
          </w:p>
        </w:tc>
        <w:tc>
          <w:tcPr>
            <w:tcW w:w="160" w:type="dxa"/>
            <w:vAlign w:val="bottom"/>
          </w:tcPr>
          <w:p>
            <w:pPr>
              <w:spacing w:after="0"/>
              <w:rPr>
                <w:sz w:val="11"/>
                <w:szCs w:val="11"/>
                <w:color w:val="auto"/>
              </w:rPr>
            </w:pPr>
          </w:p>
        </w:tc>
        <w:tc>
          <w:tcPr>
            <w:tcW w:w="2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35"/>
        </w:trPr>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of outstanding options, warrants</w:t>
            </w:r>
          </w:p>
        </w:tc>
        <w:tc>
          <w:tcPr>
            <w:tcW w:w="160" w:type="dxa"/>
            <w:vAlign w:val="bottom"/>
          </w:tcPr>
          <w:p>
            <w:pPr>
              <w:spacing w:after="0"/>
              <w:rPr>
                <w:sz w:val="11"/>
                <w:szCs w:val="11"/>
                <w:color w:val="auto"/>
              </w:rPr>
            </w:pPr>
          </w:p>
        </w:tc>
        <w:tc>
          <w:tcPr>
            <w:tcW w:w="2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under equity compensation</w:t>
            </w:r>
          </w:p>
        </w:tc>
        <w:tc>
          <w:tcPr>
            <w:tcW w:w="0" w:type="dxa"/>
            <w:vAlign w:val="bottom"/>
          </w:tcPr>
          <w:p>
            <w:pPr>
              <w:spacing w:after="0"/>
              <w:rPr>
                <w:sz w:val="1"/>
                <w:szCs w:val="1"/>
                <w:color w:val="auto"/>
              </w:rPr>
            </w:pPr>
          </w:p>
        </w:tc>
      </w:tr>
      <w:tr>
        <w:trPr>
          <w:trHeight w:val="135"/>
        </w:trPr>
        <w:tc>
          <w:tcPr>
            <w:tcW w:w="2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and rights</w:t>
            </w:r>
          </w:p>
        </w:tc>
        <w:tc>
          <w:tcPr>
            <w:tcW w:w="160" w:type="dxa"/>
            <w:vAlign w:val="bottom"/>
          </w:tcPr>
          <w:p>
            <w:pPr>
              <w:spacing w:after="0"/>
              <w:rPr>
                <w:sz w:val="11"/>
                <w:szCs w:val="11"/>
                <w:color w:val="auto"/>
              </w:rPr>
            </w:pPr>
          </w:p>
        </w:tc>
        <w:tc>
          <w:tcPr>
            <w:tcW w:w="2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options warrants and rights</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231"/>
        </w:trPr>
        <w:tc>
          <w:tcPr>
            <w:tcW w:w="2100" w:type="dxa"/>
            <w:vAlign w:val="bottom"/>
          </w:tcPr>
          <w:p>
            <w:pPr>
              <w:jc w:val="right"/>
              <w:ind w:right="1"/>
              <w:spacing w:after="0"/>
              <w:rPr>
                <w:sz w:val="20"/>
                <w:szCs w:val="20"/>
                <w:color w:val="auto"/>
              </w:rPr>
            </w:pPr>
            <w:r>
              <w:rPr>
                <w:rFonts w:ascii="Arial" w:cs="Arial" w:eastAsia="Arial" w:hAnsi="Arial"/>
                <w:sz w:val="18"/>
                <w:szCs w:val="18"/>
                <w:color w:val="auto"/>
              </w:rPr>
              <w:t>552,669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1,452,856</w:t>
            </w:r>
          </w:p>
        </w:tc>
        <w:tc>
          <w:tcPr>
            <w:tcW w:w="0" w:type="dxa"/>
            <w:vAlign w:val="bottom"/>
          </w:tcPr>
          <w:p>
            <w:pPr>
              <w:spacing w:after="0"/>
              <w:rPr>
                <w:sz w:val="1"/>
                <w:szCs w:val="1"/>
                <w:color w:val="auto"/>
              </w:rPr>
            </w:pPr>
          </w:p>
        </w:tc>
      </w:tr>
      <w:tr>
        <w:trPr>
          <w:trHeight w:val="230"/>
        </w:trPr>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552,669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1,452,856</w:t>
            </w: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09803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09803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520"/>
            <w:col w:w="65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IV</w:t>
      </w:r>
    </w:p>
    <w:p>
      <w:pPr>
        <w:spacing w:after="0" w:line="29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financial statements, financial statement schedules and exhibits listed below are filed as part of this annual report: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9720" w:type="dxa"/>
            <w:vAlign w:val="bottom"/>
          </w:tcPr>
          <w:p>
            <w:pPr>
              <w:spacing w:after="0"/>
              <w:rPr>
                <w:sz w:val="16"/>
                <w:szCs w:val="16"/>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Page</w:t>
            </w:r>
          </w:p>
        </w:tc>
      </w:t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(1)</w:t>
            </w:r>
          </w:p>
        </w:tc>
        <w:tc>
          <w:tcPr>
            <w:tcW w:w="97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and Reports on Internal Control</w:t>
            </w:r>
          </w:p>
        </w:tc>
        <w:tc>
          <w:tcPr>
            <w:tcW w:w="880" w:type="dxa"/>
            <w:vAlign w:val="bottom"/>
          </w:tcPr>
          <w:p>
            <w:pPr>
              <w:spacing w:after="0"/>
              <w:rPr>
                <w:sz w:val="18"/>
                <w:szCs w:val="18"/>
                <w:color w:val="auto"/>
              </w:rPr>
            </w:pPr>
          </w:p>
        </w:tc>
      </w:tr>
      <w:tr>
        <w:trPr>
          <w:trHeight w:val="229"/>
        </w:trPr>
        <w:tc>
          <w:tcPr>
            <w:tcW w:w="620" w:type="dxa"/>
            <w:vAlign w:val="bottom"/>
            <w:shd w:val="clear" w:color="auto" w:fill="CCEEFF"/>
          </w:tcPr>
          <w:p>
            <w:pPr>
              <w:spacing w:after="0"/>
              <w:rPr>
                <w:sz w:val="19"/>
                <w:szCs w:val="19"/>
                <w:color w:val="auto"/>
              </w:rPr>
            </w:pPr>
          </w:p>
        </w:tc>
        <w:tc>
          <w:tcPr>
            <w:tcW w:w="9720" w:type="dxa"/>
            <w:vAlign w:val="bottom"/>
            <w:shd w:val="clear" w:color="auto" w:fill="CCEEFF"/>
          </w:tcPr>
          <w:p>
            <w:pPr>
              <w:ind w:left="3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Management’s Reports to Westinghouse Air Brake Technologies Corporation Shareholders</w:t>
              </w:r>
            </w:hyperlink>
          </w:p>
        </w:tc>
        <w:tc>
          <w:tcPr>
            <w:tcW w:w="880" w:type="dxa"/>
            <w:vAlign w:val="bottom"/>
            <w:shd w:val="clear" w:color="auto" w:fill="CCEEFF"/>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r>
      <w:tr>
        <w:trPr>
          <w:trHeight w:val="229"/>
        </w:trPr>
        <w:tc>
          <w:tcPr>
            <w:tcW w:w="620" w:type="dxa"/>
            <w:vAlign w:val="bottom"/>
          </w:tcPr>
          <w:p>
            <w:pPr>
              <w:spacing w:after="0"/>
              <w:rPr>
                <w:sz w:val="19"/>
                <w:szCs w:val="19"/>
                <w:color w:val="auto"/>
              </w:rPr>
            </w:pPr>
          </w:p>
        </w:tc>
        <w:tc>
          <w:tcPr>
            <w:tcW w:w="9720" w:type="dxa"/>
            <w:vAlign w:val="bottom"/>
          </w:tcPr>
          <w:p>
            <w:pPr>
              <w:ind w:left="38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Report of Independent Registered Public Accounting Firm</w:t>
              </w:r>
            </w:hyperlink>
          </w:p>
        </w:tc>
        <w:tc>
          <w:tcPr>
            <w:tcW w:w="8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r>
      <w:tr>
        <w:trPr>
          <w:trHeight w:val="230"/>
        </w:trPr>
        <w:tc>
          <w:tcPr>
            <w:tcW w:w="620" w:type="dxa"/>
            <w:vAlign w:val="bottom"/>
            <w:shd w:val="clear" w:color="auto" w:fill="CCEEFF"/>
          </w:tcPr>
          <w:p>
            <w:pPr>
              <w:spacing w:after="0"/>
              <w:rPr>
                <w:sz w:val="19"/>
                <w:szCs w:val="19"/>
                <w:color w:val="auto"/>
              </w:rPr>
            </w:pPr>
          </w:p>
        </w:tc>
        <w:tc>
          <w:tcPr>
            <w:tcW w:w="9720" w:type="dxa"/>
            <w:vAlign w:val="bottom"/>
            <w:shd w:val="clear" w:color="auto" w:fill="CCEEFF"/>
          </w:tcPr>
          <w:p>
            <w:pPr>
              <w:ind w:left="3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Report of Independent Registered Public Accounting Firm on Internal Control Over Financial Reporting</w:t>
              </w:r>
            </w:hyperlink>
          </w:p>
        </w:tc>
        <w:tc>
          <w:tcPr>
            <w:tcW w:w="88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229"/>
        </w:trPr>
        <w:tc>
          <w:tcPr>
            <w:tcW w:w="620" w:type="dxa"/>
            <w:vAlign w:val="bottom"/>
          </w:tcPr>
          <w:p>
            <w:pPr>
              <w:spacing w:after="0"/>
              <w:rPr>
                <w:sz w:val="19"/>
                <w:szCs w:val="19"/>
                <w:color w:val="auto"/>
              </w:rPr>
            </w:pPr>
          </w:p>
        </w:tc>
        <w:tc>
          <w:tcPr>
            <w:tcW w:w="9720" w:type="dxa"/>
            <w:vAlign w:val="bottom"/>
          </w:tcPr>
          <w:p>
            <w:pPr>
              <w:ind w:left="3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Balance Sheets as of December 31, 2020 and 2019</w:t>
              </w:r>
            </w:hyperlink>
          </w:p>
        </w:tc>
        <w:tc>
          <w:tcPr>
            <w:tcW w:w="88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29"/>
        </w:trPr>
        <w:tc>
          <w:tcPr>
            <w:tcW w:w="620" w:type="dxa"/>
            <w:vAlign w:val="bottom"/>
            <w:shd w:val="clear" w:color="auto" w:fill="CCEEFF"/>
          </w:tcPr>
          <w:p>
            <w:pPr>
              <w:spacing w:after="0"/>
              <w:rPr>
                <w:sz w:val="19"/>
                <w:szCs w:val="19"/>
                <w:color w:val="auto"/>
              </w:rPr>
            </w:pPr>
          </w:p>
        </w:tc>
        <w:tc>
          <w:tcPr>
            <w:tcW w:w="9720" w:type="dxa"/>
            <w:vAlign w:val="bottom"/>
            <w:shd w:val="clear" w:color="auto" w:fill="CCEEFF"/>
          </w:tcPr>
          <w:p>
            <w:pPr>
              <w:ind w:left="3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Income for the three years ended December 31, 2020, 2019 and 2018</w:t>
              </w:r>
            </w:hyperlink>
          </w:p>
        </w:tc>
        <w:tc>
          <w:tcPr>
            <w:tcW w:w="880" w:type="dxa"/>
            <w:vAlign w:val="bottom"/>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30"/>
        </w:trPr>
        <w:tc>
          <w:tcPr>
            <w:tcW w:w="620" w:type="dxa"/>
            <w:vAlign w:val="bottom"/>
          </w:tcPr>
          <w:p>
            <w:pPr>
              <w:spacing w:after="0"/>
              <w:rPr>
                <w:sz w:val="19"/>
                <w:szCs w:val="19"/>
                <w:color w:val="auto"/>
              </w:rPr>
            </w:pPr>
          </w:p>
        </w:tc>
        <w:tc>
          <w:tcPr>
            <w:tcW w:w="9720" w:type="dxa"/>
            <w:vAlign w:val="bottom"/>
          </w:tcPr>
          <w:p>
            <w:pPr>
              <w:ind w:left="3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Comprehensive Income for the three years ended December 31, 2020, 2019 and 2018</w:t>
              </w:r>
            </w:hyperlink>
          </w:p>
        </w:tc>
        <w:tc>
          <w:tcPr>
            <w:tcW w:w="88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29"/>
        </w:trPr>
        <w:tc>
          <w:tcPr>
            <w:tcW w:w="620" w:type="dxa"/>
            <w:vAlign w:val="bottom"/>
            <w:shd w:val="clear" w:color="auto" w:fill="CCEEFF"/>
          </w:tcPr>
          <w:p>
            <w:pPr>
              <w:spacing w:after="0"/>
              <w:rPr>
                <w:sz w:val="19"/>
                <w:szCs w:val="19"/>
                <w:color w:val="auto"/>
              </w:rPr>
            </w:pPr>
          </w:p>
        </w:tc>
        <w:tc>
          <w:tcPr>
            <w:tcW w:w="9720" w:type="dxa"/>
            <w:vAlign w:val="bottom"/>
            <w:shd w:val="clear" w:color="auto" w:fill="CCEEFF"/>
          </w:tcPr>
          <w:p>
            <w:pPr>
              <w:ind w:left="3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Cash Flows for the three years ended December 31, 2020, 2019 and 2018</w:t>
              </w:r>
            </w:hyperlink>
          </w:p>
        </w:tc>
        <w:tc>
          <w:tcPr>
            <w:tcW w:w="880" w:type="dxa"/>
            <w:vAlign w:val="bottom"/>
            <w:shd w:val="clear" w:color="auto" w:fill="CCEEFF"/>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230"/>
        </w:trPr>
        <w:tc>
          <w:tcPr>
            <w:tcW w:w="620" w:type="dxa"/>
            <w:vAlign w:val="bottom"/>
          </w:tcPr>
          <w:p>
            <w:pPr>
              <w:spacing w:after="0"/>
              <w:rPr>
                <w:sz w:val="19"/>
                <w:szCs w:val="19"/>
                <w:color w:val="auto"/>
              </w:rPr>
            </w:pPr>
          </w:p>
        </w:tc>
        <w:tc>
          <w:tcPr>
            <w:tcW w:w="9720" w:type="dxa"/>
            <w:vAlign w:val="bottom"/>
          </w:tcPr>
          <w:p>
            <w:pPr>
              <w:ind w:left="3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Shareholders’ Equity for the three years ended December 31, 2020, 2019 and 2018</w:t>
              </w:r>
            </w:hyperlink>
          </w:p>
        </w:tc>
        <w:tc>
          <w:tcPr>
            <w:tcW w:w="8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r>
      <w:tr>
        <w:trPr>
          <w:trHeight w:val="229"/>
        </w:trPr>
        <w:tc>
          <w:tcPr>
            <w:tcW w:w="620" w:type="dxa"/>
            <w:vAlign w:val="bottom"/>
            <w:shd w:val="clear" w:color="auto" w:fill="CCEEFF"/>
          </w:tcPr>
          <w:p>
            <w:pPr>
              <w:spacing w:after="0"/>
              <w:rPr>
                <w:sz w:val="19"/>
                <w:szCs w:val="19"/>
                <w:color w:val="auto"/>
              </w:rPr>
            </w:pPr>
          </w:p>
        </w:tc>
        <w:tc>
          <w:tcPr>
            <w:tcW w:w="9720" w:type="dxa"/>
            <w:vAlign w:val="bottom"/>
            <w:shd w:val="clear" w:color="auto" w:fill="CCEEFF"/>
          </w:tcPr>
          <w:p>
            <w:pPr>
              <w:ind w:left="3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Notes to Consolidated Financial Statements</w:t>
              </w:r>
            </w:hyperlink>
          </w:p>
        </w:tc>
        <w:tc>
          <w:tcPr>
            <w:tcW w:w="880" w:type="dxa"/>
            <w:vAlign w:val="bottom"/>
            <w:shd w:val="clear" w:color="auto" w:fill="CCEEFF"/>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bl>
    <w:p>
      <w:pPr>
        <w:ind w:left="1000" w:hanging="974"/>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shd w:val="clear" w:color="auto" w:fill="CCEEFF"/>
          </w:tcPr>
          <w:p>
            <w:pPr>
              <w:spacing w:after="0"/>
              <w:rPr>
                <w:sz w:val="18"/>
                <w:szCs w:val="18"/>
                <w:color w:val="auto"/>
              </w:rPr>
            </w:pPr>
          </w:p>
        </w:tc>
        <w:tc>
          <w:tcPr>
            <w:tcW w:w="9340" w:type="dxa"/>
            <w:vAlign w:val="bottom"/>
            <w:gridSpan w:val="15"/>
            <w:shd w:val="clear" w:color="auto" w:fill="CCEEFF"/>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Schedule II—Valuation and Qualifying Accounts</w:t>
              </w:r>
            </w:hyperlink>
          </w:p>
        </w:tc>
        <w:tc>
          <w:tcPr>
            <w:tcW w:w="880" w:type="dxa"/>
            <w:vAlign w:val="bottom"/>
            <w:shd w:val="clear" w:color="auto" w:fill="CCEEFF"/>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86</w:t>
              </w:r>
            </w:hyperlink>
          </w:p>
        </w:tc>
        <w:tc>
          <w:tcPr>
            <w:tcW w:w="20" w:type="dxa"/>
            <w:vAlign w:val="bottom"/>
          </w:tcPr>
          <w:p>
            <w:pPr>
              <w:spacing w:after="0"/>
              <w:rPr>
                <w:sz w:val="18"/>
                <w:szCs w:val="18"/>
                <w:color w:val="auto"/>
              </w:rPr>
            </w:pPr>
          </w:p>
        </w:tc>
      </w:tr>
      <w:tr>
        <w:trPr>
          <w:trHeight w:val="135"/>
        </w:trPr>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Filing</w:t>
            </w:r>
          </w:p>
        </w:tc>
        <w:tc>
          <w:tcPr>
            <w:tcW w:w="20" w:type="dxa"/>
            <w:vAlign w:val="bottom"/>
          </w:tcPr>
          <w:p>
            <w:pPr>
              <w:spacing w:after="0"/>
              <w:rPr>
                <w:sz w:val="11"/>
                <w:szCs w:val="11"/>
                <w:color w:val="auto"/>
              </w:rPr>
            </w:pPr>
          </w:p>
        </w:tc>
      </w:tr>
      <w:tr>
        <w:trPr>
          <w:trHeight w:val="188"/>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Method</w:t>
            </w:r>
          </w:p>
        </w:tc>
      </w:tr>
      <w:tr>
        <w:trPr>
          <w:trHeight w:val="211"/>
        </w:trPr>
        <w:tc>
          <w:tcPr>
            <w:tcW w:w="1000" w:type="dxa"/>
            <w:vAlign w:val="bottom"/>
            <w:tcBorders>
              <w:top w:val="single" w:sz="8" w:color="CCEEFF"/>
            </w:tcBorders>
            <w:shd w:val="clear" w:color="auto" w:fill="CCEEFF"/>
          </w:tcPr>
          <w:p>
            <w:pPr>
              <w:spacing w:after="0"/>
              <w:rPr>
                <w:sz w:val="18"/>
                <w:szCs w:val="18"/>
                <w:color w:val="auto"/>
              </w:rPr>
            </w:pPr>
          </w:p>
        </w:tc>
        <w:tc>
          <w:tcPr>
            <w:tcW w:w="934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b w:val="1"/>
                <w:bCs w:val="1"/>
                <w:color w:val="auto"/>
              </w:rPr>
              <w:t>Exhibits</w:t>
            </w: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2.1</w:t>
            </w:r>
          </w:p>
        </w:tc>
        <w:tc>
          <w:tcPr>
            <w:tcW w:w="9340" w:type="dxa"/>
            <w:vAlign w:val="bottom"/>
            <w:tcBorders>
              <w:bottom w:val="single" w:sz="8" w:color="0000FF"/>
            </w:tcBorders>
            <w:gridSpan w:val="15"/>
          </w:tcPr>
          <w:p>
            <w:pPr>
              <w:spacing w:after="0" w:line="189"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Shareholder's Agreement among Financiere Faiveley S.A., FW Acquisition, LLC, and Wabtec Corporation dated as of October 6,</w:t>
              </w:r>
            </w:hyperlink>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720" w:type="dxa"/>
            <w:vAlign w:val="bottom"/>
            <w:gridSpan w:val="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2015</w:t>
              </w:r>
            </w:hyperlink>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2.2</w:t>
            </w:r>
          </w:p>
        </w:tc>
        <w:tc>
          <w:tcPr>
            <w:tcW w:w="9340" w:type="dxa"/>
            <w:vAlign w:val="bottom"/>
            <w:gridSpan w:val="15"/>
            <w:shd w:val="clear" w:color="auto" w:fill="CCEEFF"/>
          </w:tcPr>
          <w:p>
            <w:pPr>
              <w:spacing w:after="0" w:line="189"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 xml:space="preserve">Amendment No. 1 to </w:t>
              </w:r>
            </w:hyperlink>
            <w:r>
              <w:rPr>
                <w:rFonts w:ascii="Arial" w:cs="Arial" w:eastAsia="Arial" w:hAnsi="Arial"/>
                <w:sz w:val="18"/>
                <w:szCs w:val="18"/>
                <w:color w:val="0000FF"/>
                <w:w w:val="96"/>
              </w:rPr>
              <w:t>Shareholder</w:t>
            </w:r>
            <w:hyperlink r:id="rId60">
              <w:r>
                <w:rPr>
                  <w:rFonts w:ascii="Arial" w:cs="Arial" w:eastAsia="Arial" w:hAnsi="Arial"/>
                  <w:sz w:val="18"/>
                  <w:szCs w:val="18"/>
                  <w:color w:val="0000FF"/>
                  <w:w w:val="96"/>
                </w:rPr>
                <w:t xml:space="preserve">'s </w:t>
              </w:r>
              <w:r>
                <w:rPr>
                  <w:rFonts w:ascii="Arial" w:cs="Arial" w:eastAsia="Arial" w:hAnsi="Arial"/>
                  <w:sz w:val="18"/>
                  <w:szCs w:val="18"/>
                  <w:u w:val="single" w:color="auto"/>
                  <w:color w:val="0000FF"/>
                  <w:w w:val="96"/>
                </w:rPr>
                <w:t>Agreement among Financiere</w:t>
              </w:r>
              <w:r>
                <w:rPr>
                  <w:rFonts w:ascii="Arial" w:cs="Arial" w:eastAsia="Arial" w:hAnsi="Arial"/>
                  <w:sz w:val="18"/>
                  <w:szCs w:val="18"/>
                  <w:color w:val="0000FF"/>
                  <w:w w:val="96"/>
                </w:rPr>
                <w:t xml:space="preserve"> </w:t>
              </w:r>
            </w:hyperlink>
            <w:r>
              <w:rPr>
                <w:rFonts w:ascii="Arial" w:cs="Arial" w:eastAsia="Arial" w:hAnsi="Arial"/>
                <w:sz w:val="18"/>
                <w:szCs w:val="18"/>
                <w:color w:val="0000FF"/>
                <w:w w:val="96"/>
              </w:rPr>
              <w:t>Faiveley S.A., Famille Faiveley Participations, Francois</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0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89"/>
              </w:rPr>
              <w:t>Faiveley, Erwan Faiveley, and Wabtec Corporation dated as of dated as of October 24, 2016</w:t>
            </w:r>
          </w:p>
        </w:tc>
        <w:tc>
          <w:tcPr>
            <w:tcW w:w="2720" w:type="dxa"/>
            <w:vAlign w:val="bottom"/>
            <w:tcBorders>
              <w:bottom w:val="single" w:sz="8" w:color="CCEEFF"/>
            </w:tcBorders>
            <w:gridSpan w:val="6"/>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2.3</w:t>
            </w:r>
          </w:p>
        </w:tc>
        <w:tc>
          <w:tcPr>
            <w:tcW w:w="9340" w:type="dxa"/>
            <w:vAlign w:val="bottom"/>
            <w:gridSpan w:val="15"/>
          </w:tcPr>
          <w:p>
            <w:pPr>
              <w:spacing w:after="0" w:line="189"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Employee Matters Agreement among General Electric Company, Transportation Systems Holdings Inc., Westinghouse Air Brake</w:t>
              </w:r>
            </w:hyperlink>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Technologies Corporation and Wabtec US Rail, Inc.</w:t>
              </w:r>
            </w:hyperlink>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2.4**</w:t>
            </w:r>
          </w:p>
        </w:tc>
        <w:tc>
          <w:tcPr>
            <w:tcW w:w="9340" w:type="dxa"/>
            <w:vAlign w:val="bottom"/>
            <w:gridSpan w:val="15"/>
            <w:shd w:val="clear" w:color="auto" w:fill="CCEEFF"/>
          </w:tcPr>
          <w:p>
            <w:pPr>
              <w:spacing w:after="0" w:line="189"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Tax Matters Agreement among General Electric Company, Transportation Systems Holdings Inc., Westinghouse Air Brake</w:t>
              </w:r>
            </w:hyperlink>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374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Technologies Corporation and Wabtec US Rail, Inc.</w:t>
              </w:r>
            </w:hyperlink>
          </w:p>
        </w:tc>
        <w:tc>
          <w:tcPr>
            <w:tcW w:w="5120" w:type="dxa"/>
            <w:vAlign w:val="bottom"/>
            <w:tcBorders>
              <w:top w:val="single" w:sz="8" w:color="0000FF"/>
              <w:bottom w:val="single" w:sz="8" w:color="CCEEFF"/>
              <w:right w:val="single" w:sz="8" w:color="CCEEFF"/>
            </w:tcBorders>
            <w:gridSpan w:val="6"/>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9340" w:type="dxa"/>
            <w:vAlign w:val="bottom"/>
            <w:gridSpan w:val="15"/>
          </w:tcPr>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Restated Certificate of Incorporation of the Company dated January 30, 1995, as amended December 31, 2003</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9340" w:type="dxa"/>
            <w:vAlign w:val="bottom"/>
            <w:gridSpan w:val="15"/>
            <w:shd w:val="clear" w:color="auto" w:fill="CCEEFF"/>
          </w:tcPr>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Certificate of Amendment of Restated Certificate of Incorporation dated May 14, 2013</w:t>
              </w:r>
            </w:hyperlink>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3.3</w:t>
            </w:r>
          </w:p>
        </w:tc>
        <w:tc>
          <w:tcPr>
            <w:tcW w:w="9340" w:type="dxa"/>
            <w:vAlign w:val="bottom"/>
            <w:gridSpan w:val="15"/>
          </w:tcPr>
          <w:p>
            <w:pPr>
              <w:spacing w:after="0" w:line="189" w:lineRule="exact"/>
              <w:rPr>
                <w:rFonts w:ascii="Arial" w:cs="Arial" w:eastAsia="Arial" w:hAnsi="Arial"/>
                <w:sz w:val="18"/>
                <w:szCs w:val="18"/>
                <w:color w:val="0000FF"/>
              </w:rPr>
            </w:pPr>
            <w:hyperlink r:id="rId65">
              <w:r>
                <w:rPr>
                  <w:rFonts w:ascii="Arial" w:cs="Arial" w:eastAsia="Arial" w:hAnsi="Arial"/>
                  <w:sz w:val="18"/>
                  <w:szCs w:val="18"/>
                  <w:u w:val="single" w:color="auto"/>
                  <w:color w:val="0000FF"/>
                </w:rPr>
                <w:t>Amended and Restated By-Laws of the Company, effective</w:t>
              </w:r>
              <w:r>
                <w:rPr>
                  <w:rFonts w:ascii="Arial" w:cs="Arial" w:eastAsia="Arial" w:hAnsi="Arial"/>
                  <w:sz w:val="18"/>
                  <w:szCs w:val="18"/>
                  <w:color w:val="0000FF"/>
                </w:rPr>
                <w:t xml:space="preserve"> </w:t>
              </w:r>
            </w:hyperlink>
            <w:r>
              <w:rPr>
                <w:rFonts w:ascii="Arial" w:cs="Arial" w:eastAsia="Arial" w:hAnsi="Arial"/>
                <w:sz w:val="18"/>
                <w:szCs w:val="18"/>
                <w:color w:val="0000FF"/>
              </w:rPr>
              <w:t>February 11, 2021</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w:t>
            </w:r>
          </w:p>
        </w:tc>
        <w:tc>
          <w:tcPr>
            <w:tcW w:w="9340" w:type="dxa"/>
            <w:vAlign w:val="bottom"/>
            <w:gridSpan w:val="15"/>
            <w:shd w:val="clear" w:color="auto" w:fill="CCEEFF"/>
          </w:tcPr>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Certificate of Amendment to Restated Certificate of Incorporation dated November 19, 2018</w:t>
              </w:r>
            </w:hyperlink>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3.5</w:t>
            </w:r>
          </w:p>
        </w:tc>
        <w:tc>
          <w:tcPr>
            <w:tcW w:w="9340" w:type="dxa"/>
            <w:vAlign w:val="bottom"/>
            <w:gridSpan w:val="15"/>
          </w:tcPr>
          <w:p>
            <w:pPr>
              <w:spacing w:after="0" w:line="189" w:lineRule="exact"/>
              <w:rPr>
                <w:rFonts w:ascii="Arial" w:cs="Arial" w:eastAsia="Arial" w:hAnsi="Arial"/>
                <w:sz w:val="18"/>
                <w:szCs w:val="18"/>
                <w:color w:val="0000FF"/>
                <w:w w:val="97"/>
              </w:rPr>
            </w:pPr>
            <w:hyperlink r:id="rId67">
              <w:r>
                <w:rPr>
                  <w:rFonts w:ascii="Arial" w:cs="Arial" w:eastAsia="Arial" w:hAnsi="Arial"/>
                  <w:sz w:val="18"/>
                  <w:szCs w:val="18"/>
                  <w:color w:val="0000FF"/>
                  <w:w w:val="97"/>
                </w:rPr>
                <w:t>Certificate of Designations of Series A Non-Voting Convertible Preferred Stock of Westinghouse Air Brake Technologies</w:t>
              </w:r>
            </w:hyperlink>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Corporation, dated February 22, 2019</w:t>
              </w:r>
            </w:hyperlink>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9340" w:type="dxa"/>
            <w:vAlign w:val="bottom"/>
            <w:gridSpan w:val="15"/>
            <w:shd w:val="clear" w:color="auto" w:fill="CCEEFF"/>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Indenture, dated August 8, 2013 by and between the Company and Wells Fargo, National Association, as Trustee</w:t>
              </w:r>
            </w:hyperlink>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9340" w:type="dxa"/>
            <w:vAlign w:val="bottom"/>
            <w:gridSpan w:val="15"/>
          </w:tcPr>
          <w:p>
            <w:pPr>
              <w:spacing w:after="0" w:line="189"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First Supplemental Indenture, dated August 8, 2013, by and between the Company and Wells Fargo Bank, National Association,</w:t>
              </w:r>
            </w:hyperlink>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92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as Trustee</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9340" w:type="dxa"/>
            <w:vAlign w:val="bottom"/>
            <w:gridSpan w:val="15"/>
            <w:shd w:val="clear" w:color="auto" w:fill="CCEEFF"/>
          </w:tcPr>
          <w:p>
            <w:pP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Form of 4.375% Senior Note due 2023 (included in Exhibit 4.2)</w:t>
              </w:r>
            </w:hyperlink>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9340" w:type="dxa"/>
            <w:vAlign w:val="bottom"/>
            <w:gridSpan w:val="15"/>
          </w:tcPr>
          <w:p>
            <w:pPr>
              <w:spacing w:after="0" w:line="189"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Second Supplemental Indenture, dated November 3, 2016, by and among Westinghouse Air Brake Technologies Corporation, the</w:t>
              </w:r>
            </w:hyperlink>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93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subsidiary guarantors named therein and Wells Fargo Bank, National Association, as Trustee</w:t>
              </w:r>
            </w:hyperlink>
          </w:p>
        </w:tc>
        <w:tc>
          <w:tcPr>
            <w:tcW w:w="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98"/>
        </w:trPr>
        <w:tc>
          <w:tcPr>
            <w:tcW w:w="1000" w:type="dxa"/>
            <w:vAlign w:val="bottom"/>
          </w:tcPr>
          <w:p>
            <w:pPr>
              <w:spacing w:after="0"/>
              <w:rPr>
                <w:sz w:val="24"/>
                <w:szCs w:val="24"/>
                <w:color w:val="auto"/>
              </w:rPr>
            </w:pPr>
          </w:p>
        </w:tc>
        <w:tc>
          <w:tcPr>
            <w:tcW w:w="4720" w:type="dxa"/>
            <w:vAlign w:val="bottom"/>
            <w:tcBorders>
              <w:top w:val="single" w:sz="8" w:color="0000FF"/>
            </w:tcBorders>
            <w:gridSpan w:val="7"/>
          </w:tcPr>
          <w:p>
            <w:pPr>
              <w:ind w:left="4540"/>
              <w:spacing w:after="0"/>
              <w:rPr>
                <w:sz w:val="20"/>
                <w:szCs w:val="20"/>
                <w:color w:val="auto"/>
              </w:rPr>
            </w:pPr>
            <w:r>
              <w:rPr>
                <w:rFonts w:ascii="Arial" w:cs="Arial" w:eastAsia="Arial" w:hAnsi="Arial"/>
                <w:sz w:val="18"/>
                <w:szCs w:val="18"/>
                <w:color w:val="auto"/>
                <w:w w:val="79"/>
              </w:rPr>
              <w:t>42</w:t>
            </w:r>
          </w:p>
        </w:tc>
        <w:tc>
          <w:tcPr>
            <w:tcW w:w="9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w:t>
            </w:r>
          </w:p>
        </w:tc>
        <w:tc>
          <w:tcPr>
            <w:tcW w:w="9620" w:type="dxa"/>
            <w:vAlign w:val="bottom"/>
            <w:gridSpan w:val="27"/>
            <w:shd w:val="clear" w:color="auto" w:fill="CCEEFF"/>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Third Supplemental Indenture, dated November 3, 2016, by and among Westinghouse Air Brake Technologies Corporation, the</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68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subsidiary guarantors named therein and Wells Fargo Bank, National Association, as Trustee</w:t>
              </w:r>
            </w:hyperlink>
          </w:p>
        </w:tc>
        <w:tc>
          <w:tcPr>
            <w:tcW w:w="250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9620" w:type="dxa"/>
            <w:vAlign w:val="bottom"/>
            <w:gridSpan w:val="27"/>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Form of 3.450% Senior Note due 2026 (included in Exhibit 4.5)</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4.7</w:t>
            </w:r>
          </w:p>
        </w:tc>
        <w:tc>
          <w:tcPr>
            <w:tcW w:w="9620" w:type="dxa"/>
            <w:vAlign w:val="bottom"/>
            <w:gridSpan w:val="27"/>
            <w:shd w:val="clear" w:color="auto" w:fill="CCEEFF"/>
          </w:tcPr>
          <w:p>
            <w:pPr>
              <w:spacing w:after="0" w:line="189"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Fourth Supplemental Indenture, dated February 9, 2017, by and among Westinghouse Air Brake Technologies Corporation, the</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68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89"/>
              </w:rPr>
            </w:pPr>
            <w:hyperlink r:id="rId75">
              <w:r>
                <w:rPr>
                  <w:rFonts w:ascii="Arial" w:cs="Arial" w:eastAsia="Arial" w:hAnsi="Arial"/>
                  <w:sz w:val="18"/>
                  <w:szCs w:val="18"/>
                  <w:color w:val="0000FF"/>
                  <w:w w:val="89"/>
                </w:rPr>
                <w:t>subsidiary guarantors named therein and Wells Fargo Bank, National Association, as Trustee</w:t>
              </w:r>
            </w:hyperlink>
          </w:p>
        </w:tc>
        <w:tc>
          <w:tcPr>
            <w:tcW w:w="248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4.8</w:t>
            </w:r>
          </w:p>
        </w:tc>
        <w:tc>
          <w:tcPr>
            <w:tcW w:w="9620" w:type="dxa"/>
            <w:vAlign w:val="bottom"/>
            <w:gridSpan w:val="27"/>
          </w:tcPr>
          <w:p>
            <w:pPr>
              <w:spacing w:after="0" w:line="189"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Fifth Supplemental Indenture, dated April 28, 2017, by and among Westinghouse Air Brake Technologies Corporation, the</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subsidiary guarantors named therein and Wells Fargo Bank, National Association, as Trustee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4.9</w:t>
            </w:r>
          </w:p>
        </w:tc>
        <w:tc>
          <w:tcPr>
            <w:tcW w:w="9620" w:type="dxa"/>
            <w:vAlign w:val="bottom"/>
            <w:gridSpan w:val="27"/>
            <w:shd w:val="clear" w:color="auto" w:fill="CCEEFF"/>
          </w:tcPr>
          <w:p>
            <w:pPr>
              <w:spacing w:after="0" w:line="189"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Sixth Supplemental Indenture, dated June 21, 2017, by and among Westinghouse Air Brake Technologies Corporation, the</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6"/>
                <w:szCs w:val="16"/>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72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subsidiary guarantors named therein and Wells Fargo Bank, National Association, as Trustee.</w:t>
              </w:r>
            </w:hyperlink>
          </w:p>
        </w:tc>
        <w:tc>
          <w:tcPr>
            <w:tcW w:w="210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4.10</w:t>
            </w:r>
          </w:p>
        </w:tc>
        <w:tc>
          <w:tcPr>
            <w:tcW w:w="9620" w:type="dxa"/>
            <w:vAlign w:val="bottom"/>
            <w:gridSpan w:val="27"/>
          </w:tcPr>
          <w:p>
            <w:pPr>
              <w:spacing w:after="0" w:line="189"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Seventh Supplemental Indenture, dated June 8, 2018, by and among Westinghouse Air Brake Technologies Corporation, the</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8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subsidiary guarantors named therein and Wells Fargo Bank, National Association, as Trustee</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4.11</w:t>
            </w:r>
          </w:p>
        </w:tc>
        <w:tc>
          <w:tcPr>
            <w:tcW w:w="9620" w:type="dxa"/>
            <w:vAlign w:val="bottom"/>
            <w:gridSpan w:val="27"/>
            <w:shd w:val="clear" w:color="auto" w:fill="CCEEFF"/>
          </w:tcPr>
          <w:p>
            <w:pPr>
              <w:spacing w:after="0" w:line="189" w:lineRule="exact"/>
              <w:rPr>
                <w:rFonts w:ascii="Arial" w:cs="Arial" w:eastAsia="Arial" w:hAnsi="Arial"/>
                <w:sz w:val="18"/>
                <w:szCs w:val="18"/>
                <w:color w:val="0000FF"/>
                <w:w w:val="97"/>
              </w:rPr>
            </w:pPr>
            <w:hyperlink r:id="rId79">
              <w:r>
                <w:rPr>
                  <w:rFonts w:ascii="Arial" w:cs="Arial" w:eastAsia="Arial" w:hAnsi="Arial"/>
                  <w:sz w:val="18"/>
                  <w:szCs w:val="18"/>
                  <w:color w:val="0000FF"/>
                  <w:w w:val="97"/>
                </w:rPr>
                <w:t>Eighth Supplemental Indenture, dated June 29, 2018, by and among Westinghouse Air Brake Technologies Corporation, the</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68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subsidiary guarantors named therein and Wells Fargo Bank, National Association, as Trustee</w:t>
              </w:r>
            </w:hyperlink>
          </w:p>
        </w:tc>
        <w:tc>
          <w:tcPr>
            <w:tcW w:w="224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4.12</w:t>
            </w:r>
          </w:p>
        </w:tc>
        <w:tc>
          <w:tcPr>
            <w:tcW w:w="9620" w:type="dxa"/>
            <w:vAlign w:val="bottom"/>
            <w:gridSpan w:val="27"/>
          </w:tcPr>
          <w:p>
            <w:pPr>
              <w:spacing w:after="0" w:line="189"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Ninth Supplemental Indenture, dated September 14, 2018, by and among the Company, the guarantors party thereto and Wells</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90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Fargo Bank, National Association, as Trustee.</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4.13</w:t>
            </w:r>
          </w:p>
        </w:tc>
        <w:tc>
          <w:tcPr>
            <w:tcW w:w="9620" w:type="dxa"/>
            <w:vAlign w:val="bottom"/>
            <w:gridSpan w:val="27"/>
            <w:shd w:val="clear" w:color="auto" w:fill="CCEEFF"/>
          </w:tcPr>
          <w:p>
            <w:pPr>
              <w:spacing w:after="0" w:line="189" w:lineRule="exact"/>
              <w:rPr>
                <w:rFonts w:ascii="Arial" w:cs="Arial" w:eastAsia="Arial" w:hAnsi="Arial"/>
                <w:sz w:val="18"/>
                <w:szCs w:val="18"/>
                <w:color w:val="0000FF"/>
              </w:rPr>
            </w:pPr>
            <w:hyperlink r:id="rId80">
              <w:r>
                <w:rPr>
                  <w:rFonts w:ascii="Arial" w:cs="Arial" w:eastAsia="Arial" w:hAnsi="Arial"/>
                  <w:sz w:val="18"/>
                  <w:szCs w:val="18"/>
                  <w:color w:val="0000FF"/>
                </w:rPr>
                <w:t xml:space="preserve">Form of 1.150% Senior Note due 2024 </w:t>
              </w:r>
              <w:r>
                <w:rPr>
                  <w:rFonts w:ascii="Arial" w:cs="Arial" w:eastAsia="Arial" w:hAnsi="Arial"/>
                  <w:sz w:val="18"/>
                  <w:szCs w:val="18"/>
                  <w:u w:val="single" w:color="auto"/>
                  <w:color w:val="0000FF"/>
                </w:rPr>
                <w:t>(included</w:t>
              </w:r>
              <w:r>
                <w:rPr>
                  <w:rFonts w:ascii="Arial" w:cs="Arial" w:eastAsia="Arial" w:hAnsi="Arial"/>
                  <w:sz w:val="18"/>
                  <w:szCs w:val="18"/>
                  <w:color w:val="0000FF"/>
                </w:rPr>
                <w:t xml:space="preserve"> in Exhibit </w:t>
              </w:r>
              <w:r>
                <w:rPr>
                  <w:rFonts w:ascii="Arial" w:cs="Arial" w:eastAsia="Arial" w:hAnsi="Arial"/>
                  <w:sz w:val="18"/>
                  <w:szCs w:val="18"/>
                  <w:u w:val="single" w:color="auto"/>
                  <w:color w:val="0000FF"/>
                </w:rPr>
                <w:t>4.12)</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4.14</w:t>
            </w:r>
          </w:p>
        </w:tc>
        <w:tc>
          <w:tcPr>
            <w:tcW w:w="9620" w:type="dxa"/>
            <w:vAlign w:val="bottom"/>
            <w:gridSpan w:val="27"/>
          </w:tcPr>
          <w:p>
            <w:pPr>
              <w:spacing w:after="0" w:line="189" w:lineRule="exact"/>
              <w:rPr>
                <w:rFonts w:ascii="Arial" w:cs="Arial" w:eastAsia="Arial" w:hAnsi="Arial"/>
                <w:sz w:val="18"/>
                <w:szCs w:val="18"/>
                <w:color w:val="0000FF"/>
              </w:rPr>
            </w:pPr>
            <w:hyperlink r:id="rId80">
              <w:r>
                <w:rPr>
                  <w:rFonts w:ascii="Arial" w:cs="Arial" w:eastAsia="Arial" w:hAnsi="Arial"/>
                  <w:sz w:val="18"/>
                  <w:szCs w:val="18"/>
                  <w:color w:val="0000FF"/>
                </w:rPr>
                <w:t xml:space="preserve">Form of 4.700% Senior Note due 2028 </w:t>
              </w:r>
              <w:r>
                <w:rPr>
                  <w:rFonts w:ascii="Arial" w:cs="Arial" w:eastAsia="Arial" w:hAnsi="Arial"/>
                  <w:sz w:val="18"/>
                  <w:szCs w:val="18"/>
                  <w:u w:val="single" w:color="auto"/>
                  <w:color w:val="0000FF"/>
                </w:rPr>
                <w:t>(included</w:t>
              </w:r>
              <w:r>
                <w:rPr>
                  <w:rFonts w:ascii="Arial" w:cs="Arial" w:eastAsia="Arial" w:hAnsi="Arial"/>
                  <w:sz w:val="18"/>
                  <w:szCs w:val="18"/>
                  <w:color w:val="0000FF"/>
                </w:rPr>
                <w:t xml:space="preserve"> in Exhibit </w:t>
              </w:r>
              <w:r>
                <w:rPr>
                  <w:rFonts w:ascii="Arial" w:cs="Arial" w:eastAsia="Arial" w:hAnsi="Arial"/>
                  <w:sz w:val="18"/>
                  <w:szCs w:val="18"/>
                  <w:u w:val="single" w:color="auto"/>
                  <w:color w:val="0000FF"/>
                </w:rPr>
                <w:t>4.12)</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4.15</w:t>
            </w:r>
          </w:p>
        </w:tc>
        <w:tc>
          <w:tcPr>
            <w:tcW w:w="9620" w:type="dxa"/>
            <w:vAlign w:val="bottom"/>
            <w:gridSpan w:val="27"/>
            <w:shd w:val="clear" w:color="auto" w:fill="CCEEFF"/>
          </w:tcPr>
          <w:p>
            <w:pPr>
              <w:spacing w:after="0" w:line="189"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Tenth Supplemental Indenture, dated June 6, 2019, by and among the Company, the guarantors party thereto and Wells Fargo</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8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Bank, National Association, as Trustee</w:t>
              </w:r>
            </w:hyperlink>
          </w:p>
        </w:tc>
        <w:tc>
          <w:tcPr>
            <w:tcW w:w="622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4.16</w:t>
            </w:r>
          </w:p>
        </w:tc>
        <w:tc>
          <w:tcPr>
            <w:tcW w:w="9620" w:type="dxa"/>
            <w:vAlign w:val="bottom"/>
            <w:gridSpan w:val="27"/>
          </w:tcPr>
          <w:p>
            <w:pPr>
              <w:spacing w:after="0" w:line="189"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Eleventh Supplement Indenture, dated June 29, 2020, by and among the Company, the guarantors party thereto and Wells Fargo</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9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Bank, National Association, as Trustee</w:t>
              </w:r>
            </w:hyperlink>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4.17</w:t>
            </w:r>
          </w:p>
        </w:tc>
        <w:tc>
          <w:tcPr>
            <w:tcW w:w="9620" w:type="dxa"/>
            <w:vAlign w:val="bottom"/>
            <w:gridSpan w:val="27"/>
            <w:shd w:val="clear" w:color="auto" w:fill="CCEEFF"/>
          </w:tcPr>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Form of 3.200% Senior Note due 2025 (included in Exhibit 4.16)</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4.18</w:t>
            </w:r>
          </w:p>
        </w:tc>
        <w:tc>
          <w:tcPr>
            <w:tcW w:w="9620" w:type="dxa"/>
            <w:vAlign w:val="bottom"/>
            <w:gridSpan w:val="27"/>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Description of Wabtec Common Stock registered pursuant to Section 12 of the Securities Act of 1934</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175"/>
        </w:trPr>
        <w:tc>
          <w:tcPr>
            <w:tcW w:w="1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w:t>
            </w:r>
          </w:p>
        </w:tc>
        <w:tc>
          <w:tcPr>
            <w:tcW w:w="96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auto"/>
                <w:w w:val="97"/>
              </w:rPr>
              <w:t>Agreement of Sale and Purchase of the North American Operations of the Railway Products Group, an operating division of</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r>
      <w:tr>
        <w:trPr>
          <w:trHeight w:val="176"/>
        </w:trPr>
        <w:tc>
          <w:tcPr>
            <w:tcW w:w="1000" w:type="dxa"/>
            <w:vAlign w:val="bottom"/>
            <w:shd w:val="clear" w:color="auto" w:fill="CCEEFF"/>
          </w:tcPr>
          <w:p>
            <w:pPr>
              <w:spacing w:after="0"/>
              <w:rPr>
                <w:sz w:val="15"/>
                <w:szCs w:val="15"/>
                <w:color w:val="auto"/>
              </w:rPr>
            </w:pPr>
          </w:p>
        </w:tc>
        <w:tc>
          <w:tcPr>
            <w:tcW w:w="96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auto"/>
                <w:w w:val="96"/>
              </w:rPr>
              <w:t>American Standard Inc. (now known as Trane), dated as of 1990 between Rail Acquisition Corp. and American Standard Inc.</w:t>
            </w: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1000" w:type="dxa"/>
            <w:vAlign w:val="bottom"/>
            <w:shd w:val="clear" w:color="auto" w:fill="CCEEFF"/>
          </w:tcPr>
          <w:p>
            <w:pPr>
              <w:spacing w:after="0"/>
              <w:rPr>
                <w:sz w:val="19"/>
                <w:szCs w:val="19"/>
                <w:color w:val="auto"/>
              </w:rPr>
            </w:pPr>
          </w:p>
        </w:tc>
        <w:tc>
          <w:tcPr>
            <w:tcW w:w="962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(only provisions on indemnification are reproduced)</w:t>
            </w: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10.2</w:t>
            </w:r>
          </w:p>
        </w:tc>
        <w:tc>
          <w:tcPr>
            <w:tcW w:w="9620" w:type="dxa"/>
            <w:vAlign w:val="bottom"/>
            <w:gridSpan w:val="27"/>
          </w:tcPr>
          <w:p>
            <w:pPr>
              <w:spacing w:after="0" w:line="176" w:lineRule="exact"/>
              <w:rPr>
                <w:sz w:val="20"/>
                <w:szCs w:val="20"/>
                <w:color w:val="auto"/>
              </w:rPr>
            </w:pPr>
            <w:r>
              <w:rPr>
                <w:rFonts w:ascii="Arial" w:cs="Arial" w:eastAsia="Arial" w:hAnsi="Arial"/>
                <w:sz w:val="18"/>
                <w:szCs w:val="18"/>
                <w:color w:val="auto"/>
                <w:w w:val="95"/>
              </w:rPr>
              <w:t>Letter Agreement (undated) between the Company and American Standard Inc. (now known as Trane) on environmental costs</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r>
      <w:tr>
        <w:trPr>
          <w:trHeight w:val="229"/>
        </w:trPr>
        <w:tc>
          <w:tcPr>
            <w:tcW w:w="1000" w:type="dxa"/>
            <w:vAlign w:val="bottom"/>
          </w:tcPr>
          <w:p>
            <w:pPr>
              <w:spacing w:after="0"/>
              <w:rPr>
                <w:sz w:val="19"/>
                <w:szCs w:val="19"/>
                <w:color w:val="auto"/>
              </w:rPr>
            </w:pPr>
          </w:p>
        </w:tc>
        <w:tc>
          <w:tcPr>
            <w:tcW w:w="9620" w:type="dxa"/>
            <w:vAlign w:val="bottom"/>
            <w:gridSpan w:val="27"/>
          </w:tcPr>
          <w:p>
            <w:pPr>
              <w:spacing w:after="0"/>
              <w:rPr>
                <w:sz w:val="20"/>
                <w:szCs w:val="20"/>
                <w:color w:val="auto"/>
              </w:rPr>
            </w:pPr>
            <w:r>
              <w:rPr>
                <w:rFonts w:ascii="Arial" w:cs="Arial" w:eastAsia="Arial" w:hAnsi="Arial"/>
                <w:sz w:val="18"/>
                <w:szCs w:val="18"/>
                <w:color w:val="auto"/>
              </w:rPr>
              <w:t>and sharing</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10.3</w:t>
            </w:r>
          </w:p>
        </w:tc>
        <w:tc>
          <w:tcPr>
            <w:tcW w:w="96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auto"/>
                <w:w w:val="97"/>
              </w:rPr>
              <w:t>Purchase Agreement dated as of June 17, 1992 among the Company, Schuller International, Inc., Manville Corporation and</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r>
      <w:tr>
        <w:trPr>
          <w:trHeight w:val="229"/>
        </w:trPr>
        <w:tc>
          <w:tcPr>
            <w:tcW w:w="1000" w:type="dxa"/>
            <w:vAlign w:val="bottom"/>
            <w:shd w:val="clear" w:color="auto" w:fill="CCEEFF"/>
          </w:tcPr>
          <w:p>
            <w:pPr>
              <w:spacing w:after="0"/>
              <w:rPr>
                <w:sz w:val="19"/>
                <w:szCs w:val="19"/>
                <w:color w:val="auto"/>
              </w:rPr>
            </w:pPr>
          </w:p>
        </w:tc>
        <w:tc>
          <w:tcPr>
            <w:tcW w:w="962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European Overseas Corporation (only provisions on indemnification are reproduced)</w:t>
            </w: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9620" w:type="dxa"/>
            <w:vAlign w:val="bottom"/>
            <w:gridSpan w:val="27"/>
          </w:tcPr>
          <w:p>
            <w:pPr>
              <w:spacing w:after="0"/>
              <w:rPr>
                <w:rFonts w:ascii="Arial" w:cs="Arial" w:eastAsia="Arial" w:hAnsi="Arial"/>
                <w:sz w:val="18"/>
                <w:szCs w:val="18"/>
                <w:u w:val="single" w:color="auto"/>
                <w:color w:val="0000FF"/>
                <w:w w:val="99"/>
              </w:rPr>
            </w:pPr>
            <w:hyperlink r:id="rId83">
              <w:r>
                <w:rPr>
                  <w:rFonts w:ascii="Arial" w:cs="Arial" w:eastAsia="Arial" w:hAnsi="Arial"/>
                  <w:sz w:val="18"/>
                  <w:szCs w:val="18"/>
                  <w:u w:val="single" w:color="auto"/>
                  <w:color w:val="0000FF"/>
                  <w:w w:val="99"/>
                </w:rPr>
                <w:t>Westinghouse Air Brake Company 1995 Non-Employee Directors’ Fee and Stock Option Plan, as amended and restated*</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10.5</w:t>
            </w:r>
          </w:p>
        </w:tc>
        <w:tc>
          <w:tcPr>
            <w:tcW w:w="9620" w:type="dxa"/>
            <w:vAlign w:val="bottom"/>
            <w:gridSpan w:val="27"/>
            <w:shd w:val="clear" w:color="auto" w:fill="CCEEFF"/>
          </w:tcPr>
          <w:p>
            <w:pPr>
              <w:spacing w:after="0" w:line="189" w:lineRule="exact"/>
              <w:rPr>
                <w:rFonts w:ascii="Arial" w:cs="Arial" w:eastAsia="Arial" w:hAnsi="Arial"/>
                <w:sz w:val="18"/>
                <w:szCs w:val="18"/>
                <w:color w:val="0000FF"/>
              </w:rPr>
            </w:pPr>
            <w:hyperlink r:id="rId84">
              <w:r>
                <w:rPr>
                  <w:rFonts w:ascii="Arial" w:cs="Arial" w:eastAsia="Arial" w:hAnsi="Arial"/>
                  <w:sz w:val="18"/>
                  <w:szCs w:val="18"/>
                  <w:u w:val="single" w:color="auto"/>
                  <w:color w:val="0000FF"/>
                </w:rPr>
                <w:t>Westinghouse Air Brake Technologies Corporation 2000 Stock Incentive Plan, as</w:t>
              </w:r>
              <w:r>
                <w:rPr>
                  <w:rFonts w:ascii="Arial" w:cs="Arial" w:eastAsia="Arial" w:hAnsi="Arial"/>
                  <w:sz w:val="18"/>
                  <w:szCs w:val="18"/>
                  <w:color w:val="0000FF"/>
                </w:rPr>
                <w:t xml:space="preserve"> Westinghouse Air Brake Technologies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5900" w:type="dxa"/>
            <w:vAlign w:val="bottom"/>
            <w:tcBorders>
              <w:top w:val="single" w:sz="8" w:color="CCEEFF"/>
            </w:tcBorders>
            <w:gridSpan w:val="10"/>
            <w:shd w:val="clear" w:color="auto" w:fill="CCEEFF"/>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 xml:space="preserve">Corporation 2000 Stock Incentive Plan, as amended * </w:t>
              </w:r>
            </w:hyperlink>
            <w:hyperlink r:id="rId85">
              <w:r>
                <w:rPr>
                  <w:rFonts w:ascii="Arial" w:cs="Arial" w:eastAsia="Arial" w:hAnsi="Arial"/>
                  <w:sz w:val="18"/>
                  <w:szCs w:val="18"/>
                  <w:u w:val="single" w:color="auto"/>
                  <w:color w:val="0000FF"/>
                </w:rPr>
                <w:t>*</w:t>
              </w:r>
            </w:hyperlink>
          </w:p>
        </w:tc>
        <w:tc>
          <w:tcPr>
            <w:tcW w:w="1200" w:type="dxa"/>
            <w:vAlign w:val="bottom"/>
            <w:tcBorders>
              <w:top w:val="single" w:sz="8" w:color="0000FF"/>
            </w:tcBorders>
            <w:gridSpan w:val="3"/>
            <w:shd w:val="clear" w:color="auto" w:fill="CCEEFF"/>
          </w:tcPr>
          <w:p>
            <w:pPr>
              <w:spacing w:after="0"/>
              <w:rPr>
                <w:sz w:val="13"/>
                <w:szCs w:val="13"/>
                <w:color w:val="auto"/>
              </w:rPr>
            </w:pPr>
          </w:p>
        </w:tc>
        <w:tc>
          <w:tcPr>
            <w:tcW w:w="15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CCEEFF"/>
            </w:tcBorders>
            <w:gridSpan w:val="4"/>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140" w:type="dxa"/>
            <w:vAlign w:val="bottom"/>
            <w:tcBorders>
              <w:top w:val="single" w:sz="8" w:color="CCEEFF"/>
            </w:tcBorders>
            <w:gridSpan w:val="4"/>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10.6</w:t>
            </w:r>
          </w:p>
        </w:tc>
        <w:tc>
          <w:tcPr>
            <w:tcW w:w="9620" w:type="dxa"/>
            <w:vAlign w:val="bottom"/>
            <w:gridSpan w:val="27"/>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Employment Agreement with Albert J. Neupaver, dated February 1, 2006 *</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w:t>
            </w:r>
          </w:p>
        </w:tc>
        <w:tc>
          <w:tcPr>
            <w:tcW w:w="9620" w:type="dxa"/>
            <w:vAlign w:val="bottom"/>
            <w:gridSpan w:val="27"/>
            <w:shd w:val="clear" w:color="auto" w:fill="CCEEFF"/>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Form of Restricted Stock Agreement *</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10.8</w:t>
            </w:r>
          </w:p>
        </w:tc>
        <w:tc>
          <w:tcPr>
            <w:tcW w:w="9620" w:type="dxa"/>
            <w:vAlign w:val="bottom"/>
            <w:gridSpan w:val="27"/>
          </w:tcPr>
          <w:p>
            <w:pPr>
              <w:spacing w:after="0"/>
              <w:rPr>
                <w:rFonts w:ascii="Arial" w:cs="Arial" w:eastAsia="Arial" w:hAnsi="Arial"/>
                <w:sz w:val="18"/>
                <w:szCs w:val="18"/>
                <w:u w:val="single" w:color="auto"/>
                <w:color w:val="0000FF"/>
                <w:w w:val="96"/>
              </w:rPr>
            </w:pPr>
            <w:hyperlink r:id="rId84">
              <w:r>
                <w:rPr>
                  <w:rFonts w:ascii="Arial" w:cs="Arial" w:eastAsia="Arial" w:hAnsi="Arial"/>
                  <w:sz w:val="18"/>
                  <w:szCs w:val="18"/>
                  <w:u w:val="single" w:color="auto"/>
                  <w:color w:val="0000FF"/>
                  <w:w w:val="96"/>
                </w:rPr>
                <w:t>Westinghouse Air Brake Technologies Corporation 2011 Stock Incentive Plan as amended and restated, as further amended*</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10.9</w:t>
            </w:r>
          </w:p>
        </w:tc>
        <w:tc>
          <w:tcPr>
            <w:tcW w:w="9620" w:type="dxa"/>
            <w:vAlign w:val="bottom"/>
            <w:gridSpan w:val="27"/>
            <w:shd w:val="clear" w:color="auto" w:fill="CCEEFF"/>
          </w:tcPr>
          <w:p>
            <w:pPr>
              <w:spacing w:after="0" w:line="189"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Stock Purchase Agreement, by and among the Company, Standard Car Truck Company and Robclif, Inc., dated September 12,</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4"/>
              </w:rPr>
            </w:pPr>
            <w:hyperlink r:id="rId88">
              <w:r>
                <w:rPr>
                  <w:rFonts w:ascii="Arial" w:cs="Arial" w:eastAsia="Arial" w:hAnsi="Arial"/>
                  <w:sz w:val="18"/>
                  <w:szCs w:val="18"/>
                  <w:color w:val="0000FF"/>
                  <w:w w:val="84"/>
                </w:rPr>
                <w:t>2008</w:t>
              </w:r>
            </w:hyperlink>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1080" w:type="dxa"/>
            <w:vAlign w:val="bottom"/>
            <w:tcBorders>
              <w:top w:val="single" w:sz="8" w:color="0000FF"/>
              <w:bottom w:val="single" w:sz="8" w:color="CCEEFF"/>
            </w:tcBorders>
            <w:shd w:val="clear" w:color="auto" w:fill="CCEEFF"/>
          </w:tcPr>
          <w:p>
            <w:pPr>
              <w:spacing w:after="0"/>
              <w:rPr>
                <w:sz w:val="15"/>
                <w:szCs w:val="15"/>
                <w:color w:val="auto"/>
              </w:rPr>
            </w:pPr>
          </w:p>
        </w:tc>
        <w:tc>
          <w:tcPr>
            <w:tcW w:w="116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CCEEFF"/>
            </w:tcBorders>
            <w:shd w:val="clear" w:color="auto" w:fill="CCEEFF"/>
          </w:tcPr>
          <w:p>
            <w:pPr>
              <w:spacing w:after="0"/>
              <w:rPr>
                <w:sz w:val="15"/>
                <w:szCs w:val="15"/>
                <w:color w:val="auto"/>
              </w:rPr>
            </w:pPr>
          </w:p>
        </w:tc>
        <w:tc>
          <w:tcPr>
            <w:tcW w:w="440" w:type="dxa"/>
            <w:vAlign w:val="bottom"/>
            <w:tcBorders>
              <w:top w:val="single" w:sz="8" w:color="0000FF"/>
              <w:bottom w:val="single" w:sz="8" w:color="CCEEFF"/>
            </w:tcBorders>
            <w:shd w:val="clear" w:color="auto" w:fill="CCEEFF"/>
          </w:tcPr>
          <w:p>
            <w:pPr>
              <w:spacing w:after="0"/>
              <w:rPr>
                <w:sz w:val="15"/>
                <w:szCs w:val="15"/>
                <w:color w:val="auto"/>
              </w:rPr>
            </w:pPr>
          </w:p>
        </w:tc>
        <w:tc>
          <w:tcPr>
            <w:tcW w:w="1580" w:type="dxa"/>
            <w:vAlign w:val="bottom"/>
            <w:tcBorders>
              <w:top w:val="single" w:sz="8" w:color="0000FF"/>
              <w:bottom w:val="single" w:sz="8" w:color="CCEEFF"/>
            </w:tcBorders>
            <w:shd w:val="clear" w:color="auto" w:fill="CCEEFF"/>
          </w:tcPr>
          <w:p>
            <w:pPr>
              <w:spacing w:after="0"/>
              <w:rPr>
                <w:sz w:val="15"/>
                <w:szCs w:val="15"/>
                <w:color w:val="auto"/>
              </w:rPr>
            </w:pPr>
          </w:p>
        </w:tc>
        <w:tc>
          <w:tcPr>
            <w:tcW w:w="78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380" w:type="dxa"/>
            <w:vAlign w:val="bottom"/>
            <w:tcBorders>
              <w:top w:val="single" w:sz="8" w:color="0000FF"/>
              <w:bottom w:val="single" w:sz="8" w:color="CCEEFF"/>
            </w:tcBorders>
            <w:shd w:val="clear" w:color="auto" w:fill="CCEEFF"/>
          </w:tcPr>
          <w:p>
            <w:pPr>
              <w:spacing w:after="0"/>
              <w:rPr>
                <w:sz w:val="15"/>
                <w:szCs w:val="15"/>
                <w:color w:val="auto"/>
              </w:rPr>
            </w:pPr>
          </w:p>
        </w:tc>
        <w:tc>
          <w:tcPr>
            <w:tcW w:w="156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9620" w:type="dxa"/>
            <w:vAlign w:val="bottom"/>
            <w:gridSpan w:val="27"/>
          </w:tcPr>
          <w:p>
            <w:pPr>
              <w:spacing w:after="0" w:line="189" w:lineRule="exact"/>
              <w:rPr>
                <w:rFonts w:ascii="Arial" w:cs="Arial" w:eastAsia="Arial" w:hAnsi="Arial"/>
                <w:sz w:val="18"/>
                <w:szCs w:val="18"/>
                <w:color w:val="0000FF"/>
                <w:w w:val="95"/>
              </w:rPr>
            </w:pPr>
            <w:hyperlink r:id="rId89">
              <w:r>
                <w:rPr>
                  <w:rFonts w:ascii="Arial" w:cs="Arial" w:eastAsia="Arial" w:hAnsi="Arial"/>
                  <w:sz w:val="18"/>
                  <w:szCs w:val="18"/>
                  <w:u w:val="single" w:color="auto"/>
                  <w:color w:val="0000FF"/>
                  <w:w w:val="95"/>
                </w:rPr>
                <w:t>Form of Employment Continuation Agreement entered into by the Company with Rafael</w:t>
              </w:r>
              <w:r>
                <w:rPr>
                  <w:rFonts w:ascii="Arial" w:cs="Arial" w:eastAsia="Arial" w:hAnsi="Arial"/>
                  <w:sz w:val="18"/>
                  <w:szCs w:val="18"/>
                  <w:color w:val="0000FF"/>
                  <w:w w:val="95"/>
                </w:rPr>
                <w:t xml:space="preserve"> Santana, David L. DeNinno, Patrick D.</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7100" w:type="dxa"/>
            <w:vAlign w:val="bottom"/>
            <w:gridSpan w:val="13"/>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 xml:space="preserve">Dugan, </w:t>
              </w:r>
              <w:r>
                <w:rPr>
                  <w:rFonts w:ascii="Arial" w:cs="Arial" w:eastAsia="Arial" w:hAnsi="Arial"/>
                  <w:sz w:val="18"/>
                  <w:szCs w:val="18"/>
                  <w:u w:val="single" w:color="auto"/>
                  <w:color w:val="0000FF"/>
                </w:rPr>
                <w:t>Nicole Theophilus, Michael E. Fetsko, and John A Mastalerz Jr.*</w:t>
              </w:r>
            </w:hyperlink>
          </w:p>
        </w:tc>
        <w:tc>
          <w:tcPr>
            <w:tcW w:w="1840" w:type="dxa"/>
            <w:vAlign w:val="bottom"/>
            <w:tcBorders>
              <w:top w:val="single" w:sz="8" w:color="0000FF"/>
            </w:tcBorders>
            <w:gridSpan w:val="5"/>
          </w:tcPr>
          <w:p>
            <w:pPr>
              <w:spacing w:after="0"/>
              <w:rPr>
                <w:sz w:val="13"/>
                <w:szCs w:val="13"/>
                <w:color w:val="auto"/>
              </w:rPr>
            </w:pPr>
          </w:p>
        </w:tc>
        <w:tc>
          <w:tcPr>
            <w:tcW w:w="320" w:type="dxa"/>
            <w:vAlign w:val="bottom"/>
            <w:tcBorders>
              <w:top w:val="single" w:sz="8" w:color="0000FF"/>
            </w:tcBorders>
            <w:gridSpan w:val="8"/>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9620" w:type="dxa"/>
            <w:vAlign w:val="bottom"/>
            <w:gridSpan w:val="27"/>
            <w:shd w:val="clear" w:color="auto" w:fill="CCEEFF"/>
          </w:tcPr>
          <w:p>
            <w:pPr>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Wabtec Corporation Deferred Compensation Plan for Executive Officers and Directors as adopted December 10, 2009 *</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9620" w:type="dxa"/>
            <w:vAlign w:val="bottom"/>
            <w:gridSpan w:val="27"/>
          </w:tcPr>
          <w:p>
            <w:pPr>
              <w:spacing w:after="0" w:line="189"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Form of Agreement for Nonstatutory Stock Option under the 1995 Non-Employee Directors’ Fee and Stock Option Plan, as</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8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amended and restated*</w:t>
              </w:r>
            </w:hyperlink>
          </w:p>
        </w:tc>
        <w:tc>
          <w:tcPr>
            <w:tcW w:w="680" w:type="dxa"/>
            <w:vAlign w:val="bottom"/>
            <w:gridSpan w:val="9"/>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10.13</w:t>
            </w:r>
          </w:p>
        </w:tc>
        <w:tc>
          <w:tcPr>
            <w:tcW w:w="9620" w:type="dxa"/>
            <w:vAlign w:val="bottom"/>
            <w:gridSpan w:val="27"/>
            <w:shd w:val="clear" w:color="auto" w:fill="CCEEFF"/>
          </w:tcPr>
          <w:p>
            <w:pPr>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Form of Agreement for Nonstatutory Stock Options under 2000 Stock Incentive Plan, as amended *</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10.14</w:t>
            </w:r>
          </w:p>
        </w:tc>
        <w:tc>
          <w:tcPr>
            <w:tcW w:w="9620" w:type="dxa"/>
            <w:vAlign w:val="bottom"/>
            <w:gridSpan w:val="27"/>
          </w:tcPr>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Form of Agreement for Nonstatutory Stock Options under 2011 Stock Incentive Plan as amended and restated*</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877"/>
        </w:trPr>
        <w:tc>
          <w:tcPr>
            <w:tcW w:w="1000" w:type="dxa"/>
            <w:vAlign w:val="bottom"/>
          </w:tcPr>
          <w:p>
            <w:pPr>
              <w:spacing w:after="0"/>
              <w:rPr>
                <w:sz w:val="24"/>
                <w:szCs w:val="24"/>
                <w:color w:val="auto"/>
              </w:rPr>
            </w:pPr>
          </w:p>
        </w:tc>
        <w:tc>
          <w:tcPr>
            <w:tcW w:w="5900" w:type="dxa"/>
            <w:vAlign w:val="bottom"/>
            <w:gridSpan w:val="10"/>
          </w:tcPr>
          <w:p>
            <w:pPr>
              <w:ind w:left="454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10.15</w:t>
            </w:r>
          </w:p>
        </w:tc>
        <w:tc>
          <w:tcPr>
            <w:tcW w:w="9620" w:type="dxa"/>
            <w:vAlign w:val="bottom"/>
            <w:gridSpan w:val="12"/>
            <w:shd w:val="clear" w:color="auto" w:fill="CCEEFF"/>
          </w:tcPr>
          <w:p>
            <w:pPr>
              <w:spacing w:after="0"/>
              <w:rPr>
                <w:rFonts w:ascii="Arial" w:cs="Arial" w:eastAsia="Arial" w:hAnsi="Arial"/>
                <w:sz w:val="18"/>
                <w:szCs w:val="18"/>
                <w:color w:val="0000FF"/>
              </w:rPr>
            </w:pPr>
            <w:hyperlink r:id="rId96">
              <w:r>
                <w:rPr>
                  <w:rFonts w:ascii="Arial" w:cs="Arial" w:eastAsia="Arial" w:hAnsi="Arial"/>
                  <w:sz w:val="18"/>
                  <w:szCs w:val="18"/>
                  <w:color w:val="0000FF"/>
                </w:rPr>
                <w:t>Credit Agreement, dated as of June 8, 2018, by and among Westinghouse Air Brake Technologies Corporation, Wabtec</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858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Netherlands B.V. and the other borrowing subsidiaries party thereto, the lenders party thereto and PNC Bank, National</w:t>
              </w:r>
            </w:hyperlink>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r>
      <w:tr>
        <w:trPr>
          <w:trHeight w:val="156"/>
        </w:trPr>
        <w:tc>
          <w:tcPr>
            <w:tcW w:w="1000" w:type="dxa"/>
            <w:vAlign w:val="bottom"/>
            <w:shd w:val="clear" w:color="auto" w:fill="CCEEFF"/>
          </w:tcPr>
          <w:p>
            <w:pPr>
              <w:spacing w:after="0"/>
              <w:rPr>
                <w:sz w:val="13"/>
                <w:szCs w:val="13"/>
                <w:color w:val="auto"/>
              </w:rPr>
            </w:pPr>
          </w:p>
        </w:tc>
        <w:tc>
          <w:tcPr>
            <w:tcW w:w="9620" w:type="dxa"/>
            <w:vAlign w:val="bottom"/>
            <w:gridSpan w:val="12"/>
            <w:shd w:val="clear" w:color="auto" w:fill="CCEEFF"/>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Association, as Administrative Agent, Goldman Sachs Bank USA, HSBC Bank USA, N.A., JPMorgan Chase Bank, N.A.,</w:t>
              </w:r>
            </w:hyperlink>
          </w:p>
        </w:tc>
        <w:tc>
          <w:tcPr>
            <w:tcW w:w="600" w:type="dxa"/>
            <w:vAlign w:val="bottom"/>
            <w:shd w:val="clear" w:color="auto" w:fill="CCEEFF"/>
          </w:tcPr>
          <w:p>
            <w:pPr>
              <w:spacing w:after="0"/>
              <w:rPr>
                <w:sz w:val="13"/>
                <w:szCs w:val="13"/>
                <w:color w:val="auto"/>
              </w:rPr>
            </w:pPr>
          </w:p>
        </w:tc>
      </w:tr>
      <w:tr>
        <w:trPr>
          <w:trHeight w:val="156"/>
        </w:trPr>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8800" w:type="dxa"/>
            <w:vAlign w:val="bottom"/>
            <w:tcBorders>
              <w:top w:val="single" w:sz="8" w:color="0000FF"/>
              <w:bottom w:val="single" w:sz="8" w:color="0000FF"/>
            </w:tcBorders>
            <w:gridSpan w:val="7"/>
            <w:shd w:val="clear" w:color="auto" w:fill="CCEEFF"/>
          </w:tcPr>
          <w:p>
            <w:pPr>
              <w:spacing w:after="0" w:line="156"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Merrill Lynch, Pierce, Fenner &amp; Smith Incorporated, PNC Capital Markets LLC and TD Securities (USA) LLC, as Joint</w:t>
              </w:r>
            </w:hyperlink>
          </w:p>
        </w:tc>
        <w:tc>
          <w:tcPr>
            <w:tcW w:w="280" w:type="dxa"/>
            <w:vAlign w:val="bottom"/>
            <w:tcBorders>
              <w:top w:val="single" w:sz="8" w:color="CCEEFF"/>
              <w:bottom w:val="single" w:sz="8" w:color="0000FF"/>
            </w:tcBorders>
            <w:gridSpan w:val="2"/>
            <w:shd w:val="clear" w:color="auto" w:fill="CCEEFF"/>
          </w:tcPr>
          <w:p>
            <w:pPr>
              <w:spacing w:after="0" w:line="155" w:lineRule="exact"/>
              <w:rPr>
                <w:rFonts w:ascii="Arial" w:cs="Arial" w:eastAsia="Arial" w:hAnsi="Arial"/>
                <w:sz w:val="16"/>
                <w:szCs w:val="16"/>
                <w:color w:val="0000FF"/>
                <w:w w:val="72"/>
              </w:rPr>
            </w:pPr>
            <w:hyperlink r:id="rId96">
              <w:r>
                <w:rPr>
                  <w:rFonts w:ascii="Arial" w:cs="Arial" w:eastAsia="Arial" w:hAnsi="Arial"/>
                  <w:sz w:val="16"/>
                  <w:szCs w:val="16"/>
                  <w:color w:val="0000FF"/>
                  <w:w w:val="72"/>
                </w:rPr>
                <w:t>Lead</w:t>
              </w:r>
            </w:hyperlink>
          </w:p>
        </w:tc>
        <w:tc>
          <w:tcPr>
            <w:tcW w:w="54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2"/>
        </w:trPr>
        <w:tc>
          <w:tcPr>
            <w:tcW w:w="1000" w:type="dxa"/>
            <w:vAlign w:val="bottom"/>
            <w:shd w:val="clear" w:color="auto" w:fill="CCEEFF"/>
          </w:tcPr>
          <w:p>
            <w:pPr>
              <w:spacing w:after="0"/>
              <w:rPr>
                <w:sz w:val="12"/>
                <w:szCs w:val="12"/>
                <w:color w:val="auto"/>
              </w:rPr>
            </w:pPr>
          </w:p>
        </w:tc>
        <w:tc>
          <w:tcPr>
            <w:tcW w:w="9620" w:type="dxa"/>
            <w:vAlign w:val="bottom"/>
            <w:gridSpan w:val="12"/>
            <w:shd w:val="clear" w:color="auto" w:fill="CCEEFF"/>
          </w:tcPr>
          <w:p>
            <w:pPr>
              <w:spacing w:after="0" w:line="142" w:lineRule="exact"/>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Arrangers and Joint Bookrunners, Goldman Sachs Bank USA and PLC Capital Markets LLC, as Syndication Agents, and Bank</w:t>
              </w:r>
            </w:hyperlink>
          </w:p>
        </w:tc>
        <w:tc>
          <w:tcPr>
            <w:tcW w:w="600" w:type="dxa"/>
            <w:vAlign w:val="bottom"/>
            <w:shd w:val="clear" w:color="auto" w:fill="CCEEFF"/>
          </w:tcPr>
          <w:p>
            <w:pPr>
              <w:spacing w:after="0"/>
              <w:rPr>
                <w:sz w:val="12"/>
                <w:szCs w:val="12"/>
                <w:color w:val="auto"/>
              </w:rPr>
            </w:pPr>
          </w:p>
        </w:tc>
      </w:tr>
      <w:tr>
        <w:trPr>
          <w:trHeight w:val="229"/>
        </w:trPr>
        <w:tc>
          <w:tcPr>
            <w:tcW w:w="1000" w:type="dxa"/>
            <w:vAlign w:val="bottom"/>
            <w:shd w:val="clear" w:color="auto" w:fill="CCEEFF"/>
          </w:tcPr>
          <w:p>
            <w:pPr>
              <w:spacing w:after="0"/>
              <w:rPr>
                <w:sz w:val="19"/>
                <w:szCs w:val="19"/>
                <w:color w:val="auto"/>
              </w:rPr>
            </w:pPr>
          </w:p>
        </w:tc>
        <w:tc>
          <w:tcPr>
            <w:tcW w:w="9620" w:type="dxa"/>
            <w:vAlign w:val="bottom"/>
            <w:gridSpan w:val="12"/>
            <w:shd w:val="clear" w:color="auto" w:fill="CCEEFF"/>
          </w:tcPr>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of America, N.A., HSBC Bank USA, N.A., JPMorgan Chase Bank, N.A., and TD Securities</w:t>
              </w:r>
            </w:hyperlink>
          </w:p>
        </w:tc>
        <w:tc>
          <w:tcPr>
            <w:tcW w:w="600" w:type="dxa"/>
            <w:vAlign w:val="bottom"/>
            <w:shd w:val="clear" w:color="auto" w:fill="CCEEFF"/>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10.16</w:t>
            </w:r>
          </w:p>
        </w:tc>
        <w:tc>
          <w:tcPr>
            <w:tcW w:w="8420" w:type="dxa"/>
            <w:vAlign w:val="bottom"/>
            <w:tcBorders>
              <w:bottom w:val="single" w:sz="8" w:color="0000FF"/>
            </w:tcBorders>
            <w:gridSpan w:val="4"/>
          </w:tcPr>
          <w:p>
            <w:pPr>
              <w:spacing w:after="0" w:line="189"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First Amendment to Credit Agreement, dated as of February 22, 2019, among Westinghouse Air Brake Technologies</w:t>
              </w:r>
            </w:hyperlink>
          </w:p>
        </w:tc>
        <w:tc>
          <w:tcPr>
            <w:tcW w:w="1200" w:type="dxa"/>
            <w:vAlign w:val="bottom"/>
            <w:gridSpan w:val="8"/>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r>
      <w:tr>
        <w:trPr>
          <w:trHeight w:val="156"/>
        </w:trPr>
        <w:tc>
          <w:tcPr>
            <w:tcW w:w="1000" w:type="dxa"/>
            <w:vAlign w:val="bottom"/>
          </w:tcPr>
          <w:p>
            <w:pPr>
              <w:spacing w:after="0"/>
              <w:rPr>
                <w:sz w:val="13"/>
                <w:szCs w:val="13"/>
                <w:color w:val="auto"/>
              </w:rPr>
            </w:pPr>
          </w:p>
        </w:tc>
        <w:tc>
          <w:tcPr>
            <w:tcW w:w="9620" w:type="dxa"/>
            <w:vAlign w:val="bottom"/>
            <w:gridSpan w:val="12"/>
          </w:tcPr>
          <w:p>
            <w:pPr>
              <w:spacing w:after="0" w:line="156"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Corporation, Wabtec Netherlands B.V. and the other borrowing subsidiaries party thereto, the lenders party thereto and PNC</w:t>
              </w:r>
            </w:hyperlink>
          </w:p>
        </w:tc>
        <w:tc>
          <w:tcPr>
            <w:tcW w:w="60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89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Bank, National Association, as Administrative Agent</w:t>
              </w:r>
            </w:hyperlink>
          </w:p>
        </w:tc>
        <w:tc>
          <w:tcPr>
            <w:tcW w:w="3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10.17</w:t>
            </w:r>
          </w:p>
        </w:tc>
        <w:tc>
          <w:tcPr>
            <w:tcW w:w="9620" w:type="dxa"/>
            <w:vAlign w:val="bottom"/>
            <w:gridSpan w:val="12"/>
            <w:shd w:val="clear" w:color="auto" w:fill="CCEEFF"/>
          </w:tcPr>
          <w:p>
            <w:pPr>
              <w:spacing w:after="0" w:line="189"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Separation Agreement between Stephane Rambaud-Measson and Westinghouse Air Brake Technologies Corporation, dated as of</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930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February 13, 2019</w:t>
              </w:r>
            </w:hyperlink>
          </w:p>
        </w:tc>
        <w:tc>
          <w:tcPr>
            <w:tcW w:w="3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10.18</w:t>
            </w:r>
          </w:p>
        </w:tc>
        <w:tc>
          <w:tcPr>
            <w:tcW w:w="9620" w:type="dxa"/>
            <w:vAlign w:val="bottom"/>
            <w:gridSpan w:val="12"/>
          </w:tcPr>
          <w:p>
            <w:pPr>
              <w:spacing w:after="0" w:line="189"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Transition Agreement between Raymond T. Betler and Westinghouse Air Brake Technologies Corporation, dated as of April 24,</w:t>
              </w:r>
            </w:hyperlink>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r>
      <w:tr>
        <w:trPr>
          <w:trHeight w:val="156"/>
        </w:trPr>
        <w:tc>
          <w:tcPr>
            <w:tcW w:w="1000" w:type="dxa"/>
            <w:vAlign w:val="bottom"/>
          </w:tcPr>
          <w:p>
            <w:pPr>
              <w:spacing w:after="0"/>
              <w:rPr>
                <w:sz w:val="13"/>
                <w:szCs w:val="13"/>
                <w:color w:val="auto"/>
              </w:rPr>
            </w:pPr>
          </w:p>
        </w:tc>
        <w:tc>
          <w:tcPr>
            <w:tcW w:w="13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2019</w:t>
              </w:r>
            </w:hyperlink>
          </w:p>
        </w:tc>
        <w:tc>
          <w:tcPr>
            <w:tcW w:w="2520" w:type="dxa"/>
            <w:vAlign w:val="bottom"/>
            <w:tcBorders>
              <w:top w:val="single" w:sz="8" w:color="0000FF"/>
            </w:tcBorders>
          </w:tcPr>
          <w:p>
            <w:pPr>
              <w:spacing w:after="0"/>
              <w:rPr>
                <w:sz w:val="13"/>
                <w:szCs w:val="13"/>
                <w:color w:val="auto"/>
              </w:rPr>
            </w:pPr>
          </w:p>
        </w:tc>
        <w:tc>
          <w:tcPr>
            <w:tcW w:w="4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1"/>
        </w:trPr>
        <w:tc>
          <w:tcPr>
            <w:tcW w:w="10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9620" w:type="dxa"/>
            <w:vAlign w:val="bottom"/>
            <w:gridSpan w:val="12"/>
            <w:shd w:val="clear" w:color="auto" w:fill="CCEEFF"/>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Severance Agreement of Rafael Santana dated as of May 26, 2020</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10.20</w:t>
            </w:r>
          </w:p>
        </w:tc>
        <w:tc>
          <w:tcPr>
            <w:tcW w:w="9620" w:type="dxa"/>
            <w:vAlign w:val="bottom"/>
            <w:gridSpan w:val="12"/>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Transition Agreement of Scott Wahlstrom dated as of November 25, 2020</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w:t>
            </w:r>
          </w:p>
        </w:tc>
        <w:tc>
          <w:tcPr>
            <w:tcW w:w="9620" w:type="dxa"/>
            <w:vAlign w:val="bottom"/>
            <w:gridSpan w:val="12"/>
            <w:shd w:val="clear" w:color="auto" w:fill="CCEEFF"/>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List of subsidiaries of the Company</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22.0</w:t>
            </w:r>
          </w:p>
        </w:tc>
        <w:tc>
          <w:tcPr>
            <w:tcW w:w="9620" w:type="dxa"/>
            <w:vAlign w:val="bottom"/>
            <w:gridSpan w:val="12"/>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List of Subsidiary Guarantors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9620" w:type="dxa"/>
            <w:vAlign w:val="bottom"/>
            <w:gridSpan w:val="12"/>
            <w:shd w:val="clear" w:color="auto" w:fill="CCEEFF"/>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Consent of Ernst &amp; Young LLP</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9620" w:type="dxa"/>
            <w:vAlign w:val="bottom"/>
            <w:gridSpan w:val="12"/>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Rule 13a-14(a)/15d-14(a) Certifications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w:t>
            </w:r>
          </w:p>
        </w:tc>
        <w:tc>
          <w:tcPr>
            <w:tcW w:w="9620" w:type="dxa"/>
            <w:vAlign w:val="bottom"/>
            <w:gridSpan w:val="12"/>
            <w:shd w:val="clear" w:color="auto" w:fill="CCEEFF"/>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Rule 13a-14(a)/15d-14(a) Certifications</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9620" w:type="dxa"/>
            <w:vAlign w:val="bottom"/>
            <w:gridSpan w:val="12"/>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Section 1350 Certifications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96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96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96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XBRL Cover Page Interactive Data (embedded within the Inline XBRL document)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Filed herewith.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Filed as an exhibit to the Company’s Registration Statement on Form S-1 (File No. 033-90866).</w:t>
      </w:r>
    </w:p>
    <w:p>
      <w:pPr>
        <w:spacing w:after="0" w:line="171" w:lineRule="exact"/>
        <w:rPr>
          <w:sz w:val="20"/>
          <w:szCs w:val="20"/>
          <w:color w:val="auto"/>
        </w:rPr>
      </w:pPr>
    </w:p>
    <w:p>
      <w:pPr>
        <w:ind w:left="700" w:hanging="17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for the period ended March 31, 2006.</w:t>
      </w:r>
    </w:p>
    <w:p>
      <w:pPr>
        <w:spacing w:after="0" w:line="17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4 Filed as an Annex to the Company’s Schedule 14A Proxy Statement (File No. 033-90866) filed on March 31, 2017.</w:t>
      </w:r>
    </w:p>
    <w:p>
      <w:pPr>
        <w:spacing w:after="0" w:line="17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 Filed as an exhibit to the Company’s Current Report on Form 8-K (File No. 033-90866) filed on January 20,2021.</w:t>
      </w:r>
    </w:p>
    <w:p>
      <w:pPr>
        <w:spacing w:after="0" w:line="171" w:lineRule="exact"/>
        <w:rPr>
          <w:rFonts w:ascii="Arial" w:cs="Arial" w:eastAsia="Arial" w:hAnsi="Arial"/>
          <w:sz w:val="18"/>
          <w:szCs w:val="18"/>
          <w:color w:val="auto"/>
        </w:rPr>
      </w:pPr>
    </w:p>
    <w:p>
      <w:pPr>
        <w:ind w:left="520" w:right="920"/>
        <w:spacing w:after="0" w:line="464" w:lineRule="auto"/>
        <w:rPr>
          <w:rFonts w:ascii="Arial" w:cs="Arial" w:eastAsia="Arial" w:hAnsi="Arial"/>
          <w:sz w:val="18"/>
          <w:szCs w:val="18"/>
          <w:color w:val="auto"/>
        </w:rPr>
      </w:pPr>
      <w:r>
        <w:rPr>
          <w:rFonts w:ascii="Arial" w:cs="Arial" w:eastAsia="Arial" w:hAnsi="Arial"/>
          <w:sz w:val="17"/>
          <w:szCs w:val="17"/>
          <w:color w:val="auto"/>
        </w:rPr>
        <w:t>6 Filed as an exhibit to the Company’s Quarterly Report on Form 10-Q (File No. 033-90866) for the period ended September 30, 2008. 7 Filed as an exhibit to the Company’s Current Report on Form 8-K (File No. 033-90866) dated July 2, 2009.</w:t>
      </w:r>
    </w:p>
    <w:p>
      <w:pPr>
        <w:ind w:left="520" w:right="2220"/>
        <w:spacing w:after="0" w:line="493" w:lineRule="auto"/>
        <w:rPr>
          <w:rFonts w:ascii="Arial" w:cs="Arial" w:eastAsia="Arial" w:hAnsi="Arial"/>
          <w:sz w:val="18"/>
          <w:szCs w:val="18"/>
          <w:color w:val="auto"/>
        </w:rPr>
      </w:pPr>
      <w:r>
        <w:rPr>
          <w:rFonts w:ascii="Arial" w:cs="Arial" w:eastAsia="Arial" w:hAnsi="Arial"/>
          <w:sz w:val="16"/>
          <w:szCs w:val="16"/>
          <w:color w:val="auto"/>
        </w:rPr>
        <w:t>8 Filed as an exhibit to the Company’s Current Report on Form 8-K (File No. 033-90866), dated February 18, 2021. 9 Filed as an exhibit to the Company’s Annual Report on Form 10-K (File No. 033-90866), dated February 25, 2011.</w:t>
      </w:r>
    </w:p>
    <w:p>
      <w:pPr>
        <w:ind w:left="700" w:hanging="26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033-90866), dated February 22, 2013.</w:t>
      </w:r>
    </w:p>
    <w:p>
      <w:pPr>
        <w:spacing w:after="0" w:line="171" w:lineRule="exact"/>
        <w:rPr>
          <w:rFonts w:ascii="Arial" w:cs="Arial" w:eastAsia="Arial" w:hAnsi="Arial"/>
          <w:sz w:val="18"/>
          <w:szCs w:val="18"/>
          <w:color w:val="auto"/>
        </w:rPr>
      </w:pPr>
    </w:p>
    <w:p>
      <w:pPr>
        <w:ind w:left="700" w:hanging="255"/>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September 9, 2019.</w:t>
      </w:r>
    </w:p>
    <w:p>
      <w:pPr>
        <w:spacing w:after="0" w:line="171" w:lineRule="exact"/>
        <w:rPr>
          <w:rFonts w:ascii="Arial" w:cs="Arial" w:eastAsia="Arial" w:hAnsi="Arial"/>
          <w:sz w:val="18"/>
          <w:szCs w:val="18"/>
          <w:color w:val="auto"/>
        </w:rPr>
      </w:pPr>
    </w:p>
    <w:p>
      <w:pPr>
        <w:ind w:left="700" w:hanging="26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August 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4" w:name="page45"/>
    <w:bookmarkEnd w:id="44"/>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October 6,2015.</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October 26, 2016.</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November 3, 2016.</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10-K (File No. 033-90866), dated February 28, 2017.</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for the period ended March 31, 2017.</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S-4 (File No. 0333-219354).</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for the period ended June 30, 2018.</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September 14, 2018.</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February 25, 2019.</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033-90866), dated February 27, 2019.</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dated August 1, 2019.</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dated May 9, 2019.</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June 29, 2020.</w:t>
      </w:r>
    </w:p>
    <w:p>
      <w:pPr>
        <w:spacing w:after="0" w:line="171" w:lineRule="exact"/>
        <w:rPr>
          <w:rFonts w:ascii="Arial" w:cs="Arial" w:eastAsia="Arial" w:hAnsi="Arial"/>
          <w:sz w:val="18"/>
          <w:szCs w:val="18"/>
          <w:color w:val="auto"/>
        </w:rPr>
      </w:pPr>
    </w:p>
    <w:p>
      <w:pPr>
        <w:ind w:left="680" w:hanging="262"/>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033-90866), dated May 7,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w:t>
      </w:r>
    </w:p>
    <w:p>
      <w:pPr>
        <w:spacing w:after="0" w:line="23" w:lineRule="exact"/>
        <w:rPr>
          <w:rFonts w:ascii="Arial" w:cs="Arial" w:eastAsia="Arial" w:hAnsi="Arial"/>
          <w:sz w:val="18"/>
          <w:szCs w:val="18"/>
          <w:color w:val="auto"/>
        </w:rPr>
      </w:pPr>
    </w:p>
    <w:p>
      <w:pPr>
        <w:ind w:left="660" w:hanging="654"/>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35"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MANAGEMENT’S REPORTS TO WABTEC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 and Practices</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10-K is consistent with that in the financial statements.</w:t>
      </w:r>
    </w:p>
    <w:p>
      <w:pPr>
        <w:spacing w:after="0" w:line="7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standards.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Based on its assessment, Management has concluded that the Company maintained effective internal control over financial reporting as of December 31, 2020, based on criteria in Internal Control-Integrated Framework issued by the COSO. The effectiveness of the Company’s internal control over financial reporting as of December 31, 2020,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3900"/>
        <w:spacing w:after="0" w:line="375" w:lineRule="auto"/>
        <w:rPr>
          <w:sz w:val="20"/>
          <w:szCs w:val="20"/>
          <w:color w:val="auto"/>
        </w:rPr>
      </w:pPr>
      <w:r>
        <w:rPr>
          <w:rFonts w:ascii="Arial" w:cs="Arial" w:eastAsia="Arial" w:hAnsi="Arial"/>
          <w:sz w:val="18"/>
          <w:szCs w:val="18"/>
          <w:color w:val="auto"/>
        </w:rPr>
        <w:t xml:space="preserve">To the Shareholders and the Board of Directors of Westinghouse Air Brake Technologies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Westinghouse Air Brake Technologies Corporation (the Company) as of December 31, 2020 and 2019, the related consolidated statements of income, comprehensive income, cash flows and shareholders' equity for each of the three years in the period ended December 31, 2020,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19, 2021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7" w:name="page48"/>
    <w:bookmarkEnd w:id="47"/>
    <w:p>
      <w:pPr>
        <w:ind w:left="1980"/>
        <w:spacing w:after="0"/>
        <w:rPr>
          <w:sz w:val="20"/>
          <w:szCs w:val="20"/>
          <w:color w:val="auto"/>
        </w:rPr>
      </w:pPr>
      <w:r>
        <w:rPr>
          <w:rFonts w:ascii="Arial" w:cs="Arial" w:eastAsia="Arial" w:hAnsi="Arial"/>
          <w:sz w:val="18"/>
          <w:szCs w:val="18"/>
          <w:b w:val="1"/>
          <w:bCs w:val="1"/>
          <w:i w:val="1"/>
          <w:iCs w:val="1"/>
          <w:color w:val="auto"/>
        </w:rPr>
        <w:t>Over Time Revenue Recognition for Long-Term Contracts</w:t>
      </w:r>
    </w:p>
    <w:p>
      <w:pPr>
        <w:spacing w:after="0" w:line="41" w:lineRule="exact"/>
        <w:rPr>
          <w:sz w:val="20"/>
          <w:szCs w:val="20"/>
          <w:color w:val="auto"/>
        </w:rPr>
      </w:pPr>
    </w:p>
    <w:p>
      <w:pPr>
        <w:ind w:left="1980" w:right="80" w:hanging="1956"/>
        <w:spacing w:after="0" w:line="276" w:lineRule="auto"/>
        <w:tabs>
          <w:tab w:leader="none" w:pos="1960" w:val="left"/>
        </w:tabs>
        <w:rPr>
          <w:sz w:val="20"/>
          <w:szCs w:val="20"/>
          <w:color w:val="auto"/>
        </w:rPr>
      </w:pPr>
      <w:r>
        <w:rPr>
          <w:rFonts w:ascii="Arial" w:cs="Arial" w:eastAsia="Arial" w:hAnsi="Arial"/>
          <w:sz w:val="16"/>
          <w:szCs w:val="16"/>
          <w:i w:val="1"/>
          <w:iCs w:val="1"/>
          <w:color w:val="333333"/>
        </w:rPr>
        <w:t>Description of the Matter</w:t>
      </w:r>
      <w:r>
        <w:rPr>
          <w:sz w:val="20"/>
          <w:szCs w:val="20"/>
          <w:color w:val="auto"/>
        </w:rPr>
        <w:tab/>
      </w:r>
      <w:r>
        <w:rPr>
          <w:rFonts w:ascii="Arial" w:cs="Arial" w:eastAsia="Arial" w:hAnsi="Arial"/>
          <w:sz w:val="16"/>
          <w:szCs w:val="16"/>
          <w:color w:val="auto"/>
        </w:rPr>
        <w:t>As described in Note 2 to the consolidated financial statements, the Company has long-term customer arrangements involving the design and production of highly engineered products that require revenue to be recognized over time. The Company uses input-based measures for determining the amount of revenue, cost and gross margin to recognize over time for these customer arrangements. The input methods used for these arrangements include costs of material and labor. During the year ended December 31, 2020, a material amount of the Company's total revenues were derived from performance obligations that are satisfied over time.</w:t>
      </w:r>
    </w:p>
    <w:p>
      <w:pPr>
        <w:spacing w:after="0" w:line="157" w:lineRule="exact"/>
        <w:rPr>
          <w:sz w:val="20"/>
          <w:szCs w:val="20"/>
          <w:color w:val="auto"/>
        </w:rPr>
      </w:pPr>
    </w:p>
    <w:p>
      <w:pPr>
        <w:ind w:left="1980" w:right="180"/>
        <w:spacing w:after="0"/>
        <w:rPr>
          <w:sz w:val="20"/>
          <w:szCs w:val="20"/>
          <w:color w:val="auto"/>
        </w:rPr>
      </w:pPr>
      <w:r>
        <w:rPr>
          <w:rFonts w:ascii="Arial" w:cs="Arial" w:eastAsia="Arial" w:hAnsi="Arial"/>
          <w:sz w:val="18"/>
          <w:szCs w:val="18"/>
          <w:color w:val="auto"/>
        </w:rPr>
        <w:t>Auditing the Company's measurement of revenue recognized over time on long-term contracts is especially challenging because it involves subjective management assumptions regarding the estimated remaining costs of the long-term contract that could span several years. These assumptions could be impacted by the future cost of materials, labor availability and productivity, complexity of the work to be performed, and the performance of suppliers, customers and subcontractors that may be associated with the contract and may be affected by future market or economic conditions.</w:t>
      </w:r>
    </w:p>
    <w:p>
      <w:pPr>
        <w:spacing w:after="0" w:line="27" w:lineRule="exact"/>
        <w:rPr>
          <w:sz w:val="20"/>
          <w:szCs w:val="20"/>
          <w:color w:val="auto"/>
        </w:rPr>
      </w:pPr>
    </w:p>
    <w:p>
      <w:pPr>
        <w:ind w:left="20"/>
        <w:spacing w:after="0"/>
        <w:tabs>
          <w:tab w:leader="none" w:pos="1960" w:val="left"/>
        </w:tabs>
        <w:rPr>
          <w:sz w:val="20"/>
          <w:szCs w:val="20"/>
          <w:color w:val="auto"/>
        </w:rPr>
      </w:pPr>
      <w:r>
        <w:rPr>
          <w:rFonts w:ascii="Arial" w:cs="Arial" w:eastAsia="Arial" w:hAnsi="Arial"/>
          <w:sz w:val="18"/>
          <w:szCs w:val="18"/>
          <w:i w:val="1"/>
          <w:iCs w:val="1"/>
          <w:color w:val="333333"/>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12" w:lineRule="exact"/>
        <w:rPr>
          <w:sz w:val="20"/>
          <w:szCs w:val="20"/>
          <w:color w:val="auto"/>
        </w:rPr>
      </w:pPr>
    </w:p>
    <w:p>
      <w:pPr>
        <w:ind w:left="1980" w:right="300" w:hanging="1956"/>
        <w:spacing w:after="0" w:line="243" w:lineRule="auto"/>
        <w:tabs>
          <w:tab w:leader="none" w:pos="1960" w:val="left"/>
        </w:tabs>
        <w:rPr>
          <w:sz w:val="20"/>
          <w:szCs w:val="20"/>
          <w:color w:val="auto"/>
        </w:rPr>
      </w:pPr>
      <w:r>
        <w:rPr>
          <w:rFonts w:ascii="Arial" w:cs="Arial" w:eastAsia="Arial" w:hAnsi="Arial"/>
          <w:sz w:val="18"/>
          <w:szCs w:val="18"/>
          <w:i w:val="1"/>
          <w:iCs w:val="1"/>
          <w:color w:val="333333"/>
        </w:rPr>
        <w:t>Matter in Our Audit</w:t>
      </w:r>
      <w:r>
        <w:rPr>
          <w:sz w:val="20"/>
          <w:szCs w:val="20"/>
          <w:color w:val="auto"/>
        </w:rPr>
        <w:tab/>
      </w:r>
      <w:r>
        <w:rPr>
          <w:rFonts w:ascii="Arial" w:cs="Arial" w:eastAsia="Arial" w:hAnsi="Arial"/>
          <w:sz w:val="18"/>
          <w:szCs w:val="18"/>
          <w:color w:val="auto"/>
        </w:rPr>
        <w:t>Company's process to recognize revenue over time on long-term contracts, including controls over management’s review of the significant underlying assumptions described above.</w:t>
      </w:r>
    </w:p>
    <w:p>
      <w:pPr>
        <w:spacing w:after="0" w:line="199" w:lineRule="exact"/>
        <w:rPr>
          <w:sz w:val="20"/>
          <w:szCs w:val="20"/>
          <w:color w:val="auto"/>
        </w:rPr>
      </w:pPr>
    </w:p>
    <w:p>
      <w:pPr>
        <w:ind w:left="1980"/>
        <w:spacing w:after="0" w:line="239" w:lineRule="auto"/>
        <w:rPr>
          <w:sz w:val="20"/>
          <w:szCs w:val="20"/>
          <w:color w:val="auto"/>
        </w:rPr>
      </w:pPr>
      <w:r>
        <w:rPr>
          <w:rFonts w:ascii="Arial" w:cs="Arial" w:eastAsia="Arial" w:hAnsi="Arial"/>
          <w:sz w:val="17"/>
          <w:szCs w:val="17"/>
          <w:color w:val="24282D"/>
        </w:rPr>
        <w:t>Our audit procedures also included, among others, evaluating the significant assumptions and the accuracy and completeness of the underlying data used in management's calculations. This included, for example, inspection of the executed contract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a sample of contracts, we involved our construction and engineering specialists to assist in our evaluation of management’s cost estimates at completion.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949" w:right="111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3880"/>
        <w:spacing w:after="0" w:line="414" w:lineRule="auto"/>
        <w:rPr>
          <w:sz w:val="20"/>
          <w:szCs w:val="20"/>
          <w:color w:val="auto"/>
        </w:rPr>
      </w:pPr>
      <w:r>
        <w:rPr>
          <w:rFonts w:ascii="Arial" w:cs="Arial" w:eastAsia="Arial" w:hAnsi="Arial"/>
          <w:sz w:val="18"/>
          <w:szCs w:val="18"/>
          <w:color w:val="auto"/>
        </w:rPr>
        <w:t xml:space="preserve">To the Shareholders and the Board of Directors of Westinghouse Air Brake Technologies Corporation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audited Westinghouse Air Brake Technologies Corporation’s internal control over financial reporting as of December 31, 2020,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2020, based on the COSO criteria.</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cash flows and shareholders’ equity for each of the three years in the period ended December 31, 2020, and the related notes and financial statement schedule listed in the Index at Item 15.(2) and our report dated February 19, 2021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shares and par value</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8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4,192.1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8,485.2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8,360.6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12,973.1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16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Customer deposits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Accrued warranty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4,333.6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postretirement and pension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 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Commitment and Contingencies (Note 19)</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60" w:type="dxa"/>
            <w:vAlign w:val="bottom"/>
            <w:gridSpan w:val="2"/>
          </w:tcPr>
          <w:p>
            <w:pPr>
              <w:spacing w:after="0" w:line="166" w:lineRule="exact"/>
              <w:rPr>
                <w:sz w:val="20"/>
                <w:szCs w:val="20"/>
                <w:color w:val="auto"/>
              </w:rPr>
            </w:pPr>
            <w:r>
              <w:rPr>
                <w:rFonts w:ascii="Arial" w:cs="Arial" w:eastAsia="Arial" w:hAnsi="Arial"/>
                <w:sz w:val="16"/>
                <w:szCs w:val="16"/>
                <w:color w:val="auto"/>
                <w:w w:val="92"/>
              </w:rPr>
              <w:t>Convertible preferred stock, $.01 par value; 1.0 shares authorized, no shares issued and outstanding, at December 31, 2020 and</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2019</w:t>
            </w:r>
          </w:p>
        </w:tc>
        <w:tc>
          <w:tcPr>
            <w:tcW w:w="6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4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Common stock, $.01 par value; 500.0 shares authorized: 226.9 and 226.9 shares issued and 188.9 and 191.7 outstanding at</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2020 and 2019, respectively</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7,880.6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7,877.2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Treasury stock, at cost, 38.0 and 35.2 shares, at December 31, 2020 and 2019, respectively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10,122.3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9,956.5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10,152.7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9,993.6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9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9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In millions, except per share data</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Sales of goods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6,907.9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4,178.0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Cost of goods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Engineering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1" w:name="page52"/>
    <w:bookmarkEnd w:id="51"/>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183"/>
        </w:trPr>
        <w:tc>
          <w:tcPr>
            <w:tcW w:w="20" w:type="dxa"/>
            <w:vAlign w:val="bottom"/>
          </w:tcPr>
          <w:p>
            <w:pPr>
              <w:spacing w:after="0"/>
              <w:rPr>
                <w:sz w:val="15"/>
                <w:szCs w:val="15"/>
                <w:color w:val="auto"/>
              </w:rPr>
            </w:pPr>
          </w:p>
        </w:tc>
        <w:tc>
          <w:tcPr>
            <w:tcW w:w="696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In millions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(207.3)</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on derivative contracts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Unrealized loss on pension benefit plans and post-retirement benefit plans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 before tax</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 related to components of other comprehensive income</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Comprehensive income attributable to Wabtec shareholders</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457.9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580" w:type="dxa"/>
            <w:vAlign w:val="bottom"/>
            <w:gridSpan w:val="4"/>
          </w:tcPr>
          <w:p>
            <w:pPr>
              <w:jc w:val="center"/>
              <w:ind w:left="1910"/>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80" w:type="dxa"/>
            <w:vAlign w:val="bottom"/>
            <w:gridSpan w:val="4"/>
          </w:tcPr>
          <w:p>
            <w:pPr>
              <w:jc w:val="center"/>
              <w:ind w:left="18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183"/>
        </w:trPr>
        <w:tc>
          <w:tcPr>
            <w:tcW w:w="20" w:type="dxa"/>
            <w:vAlign w:val="bottom"/>
          </w:tcPr>
          <w:p>
            <w:pPr>
              <w:spacing w:after="0"/>
              <w:rPr>
                <w:sz w:val="15"/>
                <w:szCs w:val="15"/>
                <w:color w:val="auto"/>
              </w:rPr>
            </w:pPr>
          </w:p>
        </w:tc>
        <w:tc>
          <w:tcPr>
            <w:tcW w:w="696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291.7</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Below market intangible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ind w:left="460"/>
              <w:spacing w:after="0"/>
              <w:rPr>
                <w:sz w:val="20"/>
                <w:szCs w:val="20"/>
                <w:color w:val="auto"/>
              </w:rPr>
            </w:pPr>
            <w:r>
              <w:rPr>
                <w:rFonts w:ascii="Arial" w:cs="Arial" w:eastAsia="Arial" w:hAnsi="Arial"/>
                <w:sz w:val="18"/>
                <w:szCs w:val="18"/>
                <w:color w:val="auto"/>
              </w:rPr>
              <w:t>Accounts receivable and unbilled 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Accrued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460"/>
              <w:spacing w:after="0"/>
              <w:rPr>
                <w:sz w:val="20"/>
                <w:szCs w:val="20"/>
                <w:color w:val="auto"/>
              </w:rPr>
            </w:pPr>
            <w:r>
              <w:rPr>
                <w:rFonts w:ascii="Arial" w:cs="Arial" w:eastAsia="Arial" w:hAnsi="Arial"/>
                <w:sz w:val="18"/>
                <w:szCs w:val="18"/>
                <w:color w:val="auto"/>
              </w:rPr>
              <w:t>Accrued liabilities and customer deposits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314.7</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disposal of property, plant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Acquisitions of business, net of cash acquired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66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Proceeds from debt, net of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3,480.7</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of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Repurchase of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contingent consideration on acquisitions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Cash dividends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660"/>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1,978.1</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changes in currency exchange rates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(Decrease) increase in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2,108.9</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460"/>
              <w:spacing w:after="0"/>
              <w:rPr>
                <w:sz w:val="20"/>
                <w:szCs w:val="20"/>
                <w:color w:val="auto"/>
              </w:rPr>
            </w:pPr>
            <w:r>
              <w:rPr>
                <w:rFonts w:ascii="Arial" w:cs="Arial" w:eastAsia="Arial" w:hAnsi="Arial"/>
                <w:sz w:val="18"/>
                <w:szCs w:val="18"/>
                <w:color w:val="auto"/>
              </w:rPr>
              <w:t>Cash, cash equivalents and restricted cash, 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3" w:name="page54"/>
    <w:bookmarkEnd w:id="53"/>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Common</w:t>
            </w:r>
          </w:p>
        </w:tc>
        <w:tc>
          <w:tcPr>
            <w:tcW w:w="160" w:type="dxa"/>
            <w:vAlign w:val="bottom"/>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Treasury</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Accumulated</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7"/>
              </w:rPr>
              <w:t>Non-controlling</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Stock</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Paid-in</w:t>
            </w: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9"/>
              </w:rPr>
              <w:t>Stock</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Arial" w:cs="Arial" w:eastAsia="Arial" w:hAnsi="Arial"/>
                <w:sz w:val="11"/>
                <w:szCs w:val="11"/>
                <w:b w:val="1"/>
                <w:bCs w:val="1"/>
                <w:i w:val="1"/>
                <w:iCs w:val="1"/>
                <w:color w:val="auto"/>
                <w:w w:val="97"/>
              </w:rPr>
              <w:t>In millions, except share and per share data</w:t>
            </w:r>
          </w:p>
        </w:tc>
        <w:tc>
          <w:tcPr>
            <w:tcW w:w="12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Comprehensive Loss</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Interest</w:t>
            </w:r>
          </w:p>
        </w:tc>
        <w:tc>
          <w:tcPr>
            <w:tcW w:w="180" w:type="dxa"/>
            <w:vAlign w:val="bottom"/>
          </w:tcPr>
          <w:p>
            <w:pPr>
              <w:spacing w:after="0"/>
              <w:rPr>
                <w:sz w:val="12"/>
                <w:szCs w:val="12"/>
                <w:color w:val="auto"/>
              </w:rPr>
            </w:pPr>
          </w:p>
        </w:tc>
        <w:tc>
          <w:tcPr>
            <w:tcW w:w="600" w:type="dxa"/>
            <w:vAlign w:val="bottom"/>
          </w:tcPr>
          <w:p>
            <w:pPr>
              <w:jc w:val="right"/>
              <w:ind w:right="2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132,349,534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(36,315,182)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w w:val="99"/>
              </w:rPr>
              <w:t>Cash dividends ($0.48 dividend per share)</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w w:val="92"/>
              </w:rPr>
              <w:t>Proceeds from treasury stock issued from the</w:t>
            </w: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226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w w:val="99"/>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580,594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plans, net of tax</w:t>
            </w: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Other comprehensive income, net of tax</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(211.6)</w:t>
            </w: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color w:val="auto"/>
              </w:rPr>
              <w:t>Stock issued for Faiveley Transport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Acquisition</w:t>
            </w: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2018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132,349,534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914.6</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(35,734,588)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(816.1)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3,022.0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(256.6)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2,869.1</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9"/>
              </w:rPr>
              <w:t>Cash dividends ($0.48 dividend per share)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2"/>
          </w:tcPr>
          <w:p>
            <w:pPr>
              <w:spacing w:after="0" w:line="122" w:lineRule="exact"/>
              <w:rPr>
                <w:sz w:val="20"/>
                <w:szCs w:val="20"/>
                <w:color w:val="auto"/>
              </w:rPr>
            </w:pPr>
            <w:r>
              <w:rPr>
                <w:rFonts w:ascii="Arial" w:cs="Arial" w:eastAsia="Arial" w:hAnsi="Arial"/>
                <w:sz w:val="12"/>
                <w:szCs w:val="12"/>
                <w:color w:val="auto"/>
                <w:w w:val="92"/>
              </w:rPr>
              <w:t>Proceeds from treasury stock issued from the</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gridSpan w:val="2"/>
          </w:tcPr>
          <w:p>
            <w:pPr>
              <w:spacing w:after="0" w:line="108" w:lineRule="exact"/>
              <w:rPr>
                <w:sz w:val="20"/>
                <w:szCs w:val="20"/>
                <w:color w:val="auto"/>
              </w:rPr>
            </w:pPr>
            <w:r>
              <w:rPr>
                <w:rFonts w:ascii="Arial" w:cs="Arial" w:eastAsia="Arial" w:hAnsi="Arial"/>
                <w:sz w:val="12"/>
                <w:szCs w:val="12"/>
                <w:color w:val="auto"/>
                <w:w w:val="99"/>
              </w:rPr>
              <w:t>exercise of stock options and other benefit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486,601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plans, net of tax</w:t>
            </w: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based compensation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326.5</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loss, net of tax</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Acquisition of GE Transportation</w:t>
            </w:r>
          </w:p>
        </w:tc>
        <w:tc>
          <w:tcPr>
            <w:tcW w:w="1120" w:type="dxa"/>
            <w:vAlign w:val="bottom"/>
          </w:tcPr>
          <w:p>
            <w:pPr>
              <w:jc w:val="right"/>
              <w:spacing w:after="0"/>
              <w:rPr>
                <w:sz w:val="20"/>
                <w:szCs w:val="20"/>
                <w:color w:val="auto"/>
              </w:rPr>
            </w:pPr>
            <w:r>
              <w:rPr>
                <w:rFonts w:ascii="Arial" w:cs="Arial" w:eastAsia="Arial" w:hAnsi="Arial"/>
                <w:sz w:val="13"/>
                <w:szCs w:val="13"/>
                <w:color w:val="auto"/>
              </w:rPr>
              <w:t>94,598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6,939.0</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6,970.3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owner changes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2019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226,947,180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7,877.2</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(35,247,987)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(807.1)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3,267.0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(382.6)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9"/>
              </w:rPr>
              <w:t>Cash dividends ($0.48 dividend per share)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2"/>
          </w:tcPr>
          <w:p>
            <w:pPr>
              <w:spacing w:after="0" w:line="122" w:lineRule="exact"/>
              <w:rPr>
                <w:sz w:val="20"/>
                <w:szCs w:val="20"/>
                <w:color w:val="auto"/>
              </w:rPr>
            </w:pPr>
            <w:r>
              <w:rPr>
                <w:rFonts w:ascii="Arial" w:cs="Arial" w:eastAsia="Arial" w:hAnsi="Arial"/>
                <w:sz w:val="12"/>
                <w:szCs w:val="12"/>
                <w:color w:val="auto"/>
                <w:w w:val="92"/>
              </w:rPr>
              <w:t>Proceeds from treasury stock issued from the</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gridSpan w:val="2"/>
          </w:tcPr>
          <w:p>
            <w:pPr>
              <w:spacing w:after="0" w:line="108" w:lineRule="exact"/>
              <w:rPr>
                <w:sz w:val="20"/>
                <w:szCs w:val="20"/>
                <w:color w:val="auto"/>
              </w:rPr>
            </w:pPr>
            <w:r>
              <w:rPr>
                <w:rFonts w:ascii="Arial" w:cs="Arial" w:eastAsia="Arial" w:hAnsi="Arial"/>
                <w:sz w:val="12"/>
                <w:szCs w:val="12"/>
                <w:color w:val="auto"/>
                <w:w w:val="99"/>
              </w:rPr>
              <w:t>exercise of stock options and other benefit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315,988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plans, net of tax</w:t>
            </w: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based compensation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412.3</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loss, net of tax</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color w:val="auto"/>
              </w:rPr>
              <w:t>Stock repurchase</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(3,127,698)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owner changes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226,947,180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7,880.6</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(38,059,697)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(1,010.1)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3,588.9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(339.1)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10,152.7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0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2020, approximately 58% of the Company’s net sales came from customers outside the U.S.</w:t>
      </w:r>
    </w:p>
    <w:p>
      <w:pPr>
        <w:spacing w:after="0" w:line="5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the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all subsidiaries that it controls.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billed at prices consistent with sales to third parties and are eliminated in consolidation.</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Cash equivalents are highly liquid investments purchased with an original maturity of three months or less.</w:t>
      </w:r>
    </w:p>
    <w:p>
      <w:pPr>
        <w:spacing w:after="0" w:line="117"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b w:val="1"/>
          <w:bCs w:val="1"/>
          <w:i w:val="1"/>
          <w:iCs w:val="1"/>
          <w:color w:val="auto"/>
        </w:rPr>
        <w:t xml:space="preserve">Allowance for Doubtful Accounts </w:t>
      </w:r>
      <w:r>
        <w:rPr>
          <w:rFonts w:ascii="Arial" w:cs="Arial" w:eastAsia="Arial" w:hAnsi="Arial"/>
          <w:sz w:val="16"/>
          <w:szCs w:val="16"/>
          <w:color w:val="auto"/>
        </w:rPr>
        <w:t>The allowance for doubtful accounts receivable reflects our best estimate of expected losses inherent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 portfolio determined on the basis of historical experience, relevant credit forecast information, changes to customer's solvency and other currently available evidence. The allowance for doubtful accounts was $36.5 million and $19.9 million as of December 31, 2020 and 2019, respectively.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Cost is determined under the first-in, first-out (FIFO)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Inventory costs include material, labor and overhead.</w:t>
      </w:r>
    </w:p>
    <w:p>
      <w:pPr>
        <w:spacing w:after="0" w:line="103"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additions are stated at cost. Expenditures for renewals and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Expenditures for ordinary maintenance and repairs are expensed as incurred. The Company computes book depreciation principally on the straight-line method. Accelerated depreciation methods are utilized for income tax purposes.</w:t>
      </w:r>
    </w:p>
    <w:p>
      <w:pPr>
        <w:spacing w:after="0" w:line="7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Leasing Arrangements </w:t>
      </w:r>
      <w:r>
        <w:rPr>
          <w:rFonts w:ascii="Arial" w:cs="Arial" w:eastAsia="Arial" w:hAnsi="Arial"/>
          <w:sz w:val="18"/>
          <w:szCs w:val="18"/>
          <w:color w:val="auto"/>
        </w:rPr>
        <w:t>The Company conducts a portion of its operations from leased facilities and finances certain equipment purchases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agreements. In those cases in which the 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w:t>
      </w:r>
    </w:p>
    <w:p>
      <w:pPr>
        <w:spacing w:after="0" w:line="8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Equity Method Investments </w:t>
      </w:r>
      <w:r>
        <w:rPr>
          <w:rFonts w:ascii="Arial" w:cs="Arial" w:eastAsia="Arial" w:hAnsi="Arial"/>
          <w:sz w:val="18"/>
          <w:szCs w:val="18"/>
          <w:color w:val="auto"/>
        </w:rPr>
        <w:t>The Company invests in privately-held companies which are accounted for using the equity method. The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applied in situations where the Company has the ability to exercise significant influence, but not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55" w:name="page56"/>
    <w:bookmarkEnd w:id="55"/>
    <w:p>
      <w:pPr>
        <w:ind w:right="40"/>
        <w:spacing w:after="0" w:line="308" w:lineRule="auto"/>
        <w:rPr>
          <w:sz w:val="20"/>
          <w:szCs w:val="20"/>
          <w:color w:val="auto"/>
        </w:rPr>
      </w:pPr>
      <w:r>
        <w:rPr>
          <w:rFonts w:ascii="Arial" w:cs="Arial" w:eastAsia="Arial" w:hAnsi="Arial"/>
          <w:sz w:val="17"/>
          <w:szCs w:val="17"/>
          <w:color w:val="auto"/>
        </w:rPr>
        <w:t>control, over the investee. Equity method investments are classified as other assets under the caption "Other noncurrent assets" on the consolidated balance sheet. Equity method investments were $100.0 million and $95.2 million at December 31, 2020 and 2019, respectively.</w:t>
      </w:r>
    </w:p>
    <w:p>
      <w:pPr>
        <w:spacing w:after="0" w:line="3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Depreciation Expense </w:t>
      </w:r>
      <w:r>
        <w:rPr>
          <w:rFonts w:ascii="Arial" w:cs="Arial" w:eastAsia="Arial" w:hAnsi="Arial"/>
          <w:sz w:val="18"/>
          <w:szCs w:val="18"/>
          <w:color w:val="auto"/>
        </w:rPr>
        <w:t>Depreciation of property, plant and equipment related to the manufacturing of products or services provided is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Warranty Costs </w:t>
      </w:r>
      <w:r>
        <w:rPr>
          <w:rFonts w:ascii="Arial" w:cs="Arial" w:eastAsia="Arial" w:hAnsi="Arial"/>
          <w:sz w:val="17"/>
          <w:szCs w:val="17"/>
          <w:color w:val="auto"/>
        </w:rPr>
        <w:t>Warranty costs are accrued based on Management’s estimates of repair or upgrade costs per unit and historical experience.</w:t>
      </w:r>
    </w:p>
    <w:p>
      <w:pPr>
        <w:spacing w:after="0" w:line="129"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are accounted for under the liability method. Deferred tax assets and liabilities are determined based on differences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financial reporting and tax basis of assets and liabilities and are measured using the enacted tax rates and laws. The provision for income taxes includes federal, state and foreign income taxes.</w:t>
      </w:r>
    </w:p>
    <w:p>
      <w:pPr>
        <w:spacing w:after="0" w:line="7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recognizes compensation expense for stock-based compensation based on the grant date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ratably over the requisite service period following the date of grant.</w:t>
      </w:r>
    </w:p>
    <w:p>
      <w:pPr>
        <w:spacing w:after="0" w:line="6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 xml:space="preserve">Financial Derivatives and Hedging Activities </w:t>
      </w:r>
      <w:r>
        <w:rPr>
          <w:rFonts w:ascii="Arial" w:cs="Arial" w:eastAsia="Arial" w:hAnsi="Arial"/>
          <w:sz w:val="17"/>
          <w:szCs w:val="17"/>
          <w:color w:val="auto"/>
        </w:rPr>
        <w:t>In the normal course of business, the Company is exposed to interest rate, commodity price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currency exchange rate fluctuations. At times, the Company limits these risks through the use of derivatives such as cross-currency swaps, foreign currency forward contracts, interest rate swaps, commodity forwards and futures.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For further information regarding the foreign currency forward contracts, see Note 17.</w:t>
      </w:r>
    </w:p>
    <w:p>
      <w:pPr>
        <w:spacing w:after="0" w:line="69" w:lineRule="exact"/>
        <w:rPr>
          <w:sz w:val="20"/>
          <w:szCs w:val="20"/>
          <w:color w:val="auto"/>
        </w:rPr>
      </w:pPr>
    </w:p>
    <w:p>
      <w:pPr>
        <w:ind w:right="40" w:firstLine="486"/>
        <w:spacing w:after="0" w:line="253"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Certain of our international operations have determined that the local currency is the functional currency whereas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 Foreign exchange transaction losses recognized in other income, net were $8.2 million, $13.5 million and $5.7 million for 2020, 2019 and 2018, respectively.</w:t>
      </w:r>
    </w:p>
    <w:p>
      <w:pPr>
        <w:spacing w:after="0" w:line="76"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the Company has classified noncontrolling interests as equity on our consolidated 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sheets as of December 31, 2020 and 2019. Net loss attributable to noncontrolling interests was not material for the years ended December 31, 2020, 2019 and 2018, respectively.</w:t>
      </w:r>
    </w:p>
    <w:p>
      <w:pPr>
        <w:spacing w:after="0" w:line="7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The Company accounts for Revenue under ASC 606 “Revenue from Contracts with Customers.” This guidance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5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 majority of the Company’s revenues are derived from performance obligations that are satisfied at a point in time when control passes to the customer which is generally at the time of shipment in accordance with agreed upon delivery terms. The remaining revenues are earned over time. All fees billed to the customer for shipping and handling are classified as a component of Net sales. All costs associated with shipping and handling are classified as a component of Cost of sales.</w:t>
      </w:r>
    </w:p>
    <w:p>
      <w:pPr>
        <w:spacing w:after="0" w:line="79"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accounting period as such amounts are determined. Additional information with respect to contract assets and liabilities is included in Note 8.</w:t>
      </w:r>
    </w:p>
    <w:p>
      <w:pPr>
        <w:spacing w:after="0" w:line="11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Remaining performance obligations represent the allocated transaction price of unsatisfied or partially unsatisfied performance obligations. As of December 31, 2020, the Company's remaining performance obligations were $20.8 billion. The Company expects to recognize revenue of approximately 25% of remaining performance obligations over the next 12 months, with the remainder recognized thereafter.</w:t>
      </w:r>
    </w:p>
    <w:p>
      <w:pPr>
        <w:spacing w:after="0" w:line="5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SEC regulations require that revenue categories that exceed 10% of total revenue are presented separately on the company's Statement of income. As such, the Company has displayed sales of goods and sales of services, and the related cost, in line with those regulations. Additionally, those regulations also require that goods are to include all sales of tangible products, and services must include all other sales. In Note 20 we refer to sales of both goods, such as spare parts and equipment upgrades, and related services, such as monitoring, maintenance and repairs, as sales in our Services product line.</w:t>
      </w:r>
    </w:p>
    <w:p>
      <w:pPr>
        <w:spacing w:after="0" w:line="49"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b w:val="1"/>
          <w:bCs w:val="1"/>
          <w:i w:val="1"/>
          <w:iCs w:val="1"/>
          <w:color w:val="auto"/>
        </w:rPr>
        <w:t xml:space="preserve">Revolving Receivables Program </w:t>
      </w:r>
      <w:r>
        <w:rPr>
          <w:rFonts w:ascii="Arial" w:cs="Arial" w:eastAsia="Arial" w:hAnsi="Arial"/>
          <w:sz w:val="16"/>
          <w:szCs w:val="16"/>
          <w:color w:val="auto"/>
        </w:rPr>
        <w:t>In May 2020, the Company entered into a revolving agreement to transfer up to $150.0 million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of certain subsidiaries of the Company (the "Originators") through our bankruptcy-remote subsidiary to a financial institution on a recurring basis in exchange for cash equal to the gross receivables transferred. As customers pay their balances, we transfer additional receivables into the program, resulting in our gross receivables sold exceeding net cash flow impacts (e.g., collect and reinvest). The sold receivables are fully guaranteed by our bankruptcy-remote subsidiary which holds additional receivables of $114.0 million and unbilled receivables of $19.7 million at December 31, 2020 that are pledged as collateral under this agreement. The transfers are recorded at fair value of the proceeds received and obligations assumed less derecognized receivables. No obligation was recorded at December 31, 2020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Twelve Months Ended</w:t>
            </w:r>
          </w:p>
        </w:tc>
      </w:tr>
      <w:tr>
        <w:trPr>
          <w:trHeight w:val="189"/>
        </w:trPr>
        <w:tc>
          <w:tcPr>
            <w:tcW w:w="20" w:type="dxa"/>
            <w:vAlign w:val="bottom"/>
          </w:tcPr>
          <w:p>
            <w:pPr>
              <w:spacing w:after="0"/>
              <w:rPr>
                <w:sz w:val="16"/>
                <w:szCs w:val="16"/>
                <w:color w:val="auto"/>
              </w:rPr>
            </w:pPr>
          </w:p>
        </w:tc>
        <w:tc>
          <w:tcPr>
            <w:tcW w:w="8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00" w:type="dxa"/>
            <w:vAlign w:val="bottom"/>
          </w:tcPr>
          <w:p>
            <w:pPr>
              <w:spacing w:after="0"/>
              <w:rPr>
                <w:sz w:val="16"/>
                <w:szCs w:val="16"/>
                <w:color w:val="auto"/>
              </w:rPr>
            </w:pPr>
          </w:p>
        </w:tc>
        <w:tc>
          <w:tcPr>
            <w:tcW w:w="2120" w:type="dxa"/>
            <w:vAlign w:val="bottom"/>
          </w:tcPr>
          <w:p>
            <w:pPr>
              <w:jc w:val="right"/>
              <w:ind w:right="350"/>
              <w:spacing w:after="0" w:line="189" w:lineRule="exact"/>
              <w:rPr>
                <w:sz w:val="20"/>
                <w:szCs w:val="20"/>
                <w:color w:val="auto"/>
              </w:rPr>
            </w:pPr>
            <w:r>
              <w:rPr>
                <w:rFonts w:ascii="Arial" w:cs="Arial" w:eastAsia="Arial" w:hAnsi="Arial"/>
                <w:sz w:val="18"/>
                <w:szCs w:val="18"/>
                <w:b w:val="1"/>
                <w:bCs w:val="1"/>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Collections reinvested under revolving agreement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779.4</w:t>
            </w: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proceeds (remitted) received</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bl>
    <w:p>
      <w:pPr>
        <w:spacing w:after="0" w:line="148"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b w:val="1"/>
          <w:bCs w:val="1"/>
          <w:i w:val="1"/>
          <w:iCs w:val="1"/>
          <w:color w:val="auto"/>
        </w:rPr>
        <w:t xml:space="preserve">Pre-Production Costs </w:t>
      </w:r>
      <w:r>
        <w:rPr>
          <w:rFonts w:ascii="Arial" w:cs="Arial" w:eastAsia="Arial" w:hAnsi="Arial"/>
          <w:sz w:val="16"/>
          <w:szCs w:val="16"/>
          <w:color w:val="auto"/>
        </w:rPr>
        <w:t>Certain pre-production costs relating to long-term production and supply contracts have been deferred and will be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the contracts. Deferred pre-production costs were $87.0 million and $88.0 million at December 31, 2020 and 2019, respectively.</w:t>
      </w:r>
    </w:p>
    <w:p>
      <w:pPr>
        <w:spacing w:after="0" w:line="1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The Company’s authorized capital stock includes 1,000,000 shares of preferred stock. The Board of Directors has the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the preferred stock and to fix the designations, powers, preferences and rights of the shares of each such class or series, including dividend rates, conversion rights, voting rights, terms of redemption and liquidation preferences, without any further vote or action by the Company’s shareholders. The rights and preferences of the preferred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stock would be superior to those of the common stock. At December 31, 2020 and 2019 there was no preferred stock issued or outstanding.</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b w:val="1"/>
          <w:bCs w:val="1"/>
          <w:i w:val="1"/>
          <w:iCs w:val="1"/>
          <w:color w:val="auto"/>
        </w:rPr>
        <w:t xml:space="preserve">Significant Customers and Concentrations of Credit Risk </w:t>
      </w:r>
      <w:r>
        <w:rPr>
          <w:rFonts w:ascii="Arial" w:cs="Arial" w:eastAsia="Arial" w:hAnsi="Arial"/>
          <w:sz w:val="17"/>
          <w:szCs w:val="17"/>
          <w:color w:val="auto"/>
        </w:rPr>
        <w:t>The Company’s trade receivables are primarily from rail and transit industry 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manufacturers, Class I railroads, railroad carriers and commercial companies that utilize rail cars in their operations, such as utility and chemical companies. No one customer accounted for more than 10% of the Company’s consolidated net sales in 2020, 2019 or 2018.</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w:t>
      </w:r>
    </w:p>
    <w:p>
      <w:pPr>
        <w:spacing w:after="0" w:line="11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Standards Adopted in 2020</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On January 1, 2020, the Company adopted the following Accounting Standard Updates (ASU) issued by the Financial Accounting Standard Board (FASB), none of which had a material impact on the Company’s Consolidated Financial Statements:</w:t>
      </w:r>
    </w:p>
    <w:p>
      <w:pPr>
        <w:spacing w:after="0" w:line="62" w:lineRule="exact"/>
        <w:rPr>
          <w:sz w:val="20"/>
          <w:szCs w:val="20"/>
          <w:color w:val="auto"/>
        </w:rPr>
      </w:pPr>
    </w:p>
    <w:p>
      <w:pPr>
        <w:ind w:left="1300" w:hanging="482"/>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ASU No. 2016-13, Financial Instruments - Credit Losses (Topic 326): Measurement of Credit Losses on Financial Instruments;</w:t>
      </w:r>
    </w:p>
    <w:p>
      <w:pPr>
        <w:spacing w:after="0" w:line="128" w:lineRule="exact"/>
        <w:rPr>
          <w:rFonts w:ascii="Arial" w:cs="Arial" w:eastAsia="Arial" w:hAnsi="Arial"/>
          <w:sz w:val="17"/>
          <w:szCs w:val="17"/>
          <w:color w:val="auto"/>
        </w:rPr>
      </w:pPr>
    </w:p>
    <w:p>
      <w:pPr>
        <w:ind w:left="1300" w:hanging="48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ASU No. 2017-04, Intangibles - Goodwill and Other (Topic 350): Simplifying the Test for Goodwill Impairment.</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March 2020, the SEC amended Rules 3-10 and 3-16 of Regulation S-X regarding financial disclosure requirements for registered debt offerings involving subsidiaries as either issuers or guarantors and affiliates whose securities are pledged as collateral. This new guidance narrows the circumstances that require separate financial statements of subsidiary issuers and guarantors and streamlines the alternative disclosures required in lieu of those statements. The final rule also allows for simplified disclosures to be included within Management’s Discussion and Analysis. This rule is effective January 4, 2021 with early adoption permitted. The Company elected to early adopt this rule during the three months ended June 30, 2020.</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Standards to be Adopted in Future Years</w:t>
      </w:r>
    </w:p>
    <w:p>
      <w:pPr>
        <w:spacing w:after="0" w:line="11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In December 2019, the Financial Accounting Standards Board ("FASB") issued ASU 2019-12, “Income Taxes: Simplifying the Accounting for Income Taxes.” The amendments in this update simplify the accounting for certain income tax transactions by removing specific exceptions to the general principles in Topic 740, Income Taxes. This guidance is effective for fiscal years beginning after December 15, 2020 with early adoption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ind w:right="220" w:firstLine="486"/>
        <w:spacing w:after="0" w:line="296"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and Direct Sale Purchaser, which also is Wabtec’s wholly owned subsidiary, together, SpinCo and Direct Sale Purchaser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53"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Total future consideration to be paid by Wabtec to GE includes a fixed payment of $470.0 million, of which $115.4 million was paid in 2020,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59" w:name="page60"/>
    <w:bookmarkEnd w:id="59"/>
    <w:p>
      <w:pPr>
        <w:ind w:right="320"/>
        <w:spacing w:after="0" w:line="311" w:lineRule="auto"/>
        <w:rPr>
          <w:sz w:val="20"/>
          <w:szCs w:val="20"/>
          <w:color w:val="auto"/>
        </w:rPr>
      </w:pPr>
      <w:r>
        <w:rPr>
          <w:rFonts w:ascii="Arial" w:cs="Arial" w:eastAsia="Arial" w:hAnsi="Arial"/>
          <w:sz w:val="16"/>
          <w:szCs w:val="16"/>
          <w:color w:val="auto"/>
        </w:rPr>
        <w:t>GE Transportation. The estimated total value of the consideration to be paid by Wabtec in the acquisition transactions is approximately $10.3 billion, including the cash paid for the Direct Sales Assets, equity transferred for SpinCo, contingent consideration, assumed debt and net of cash acquired. The consideration is based on the Company’s closing share price of $73.36 on February 22, 2019 and the fair value of the contingent consideration.</w:t>
      </w:r>
    </w:p>
    <w:p>
      <w:pPr>
        <w:spacing w:after="0" w:line="41"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Discounted cash flow models were used to estimate the fair values of acquired contract backlog, customer relationships, intellectual property intangibles, and below-market customer contracts liabilities. The fair value measurements were primarily based on significant inputs that are not observable in the market and are considered Level 3. The noncontrolling interest includes equity interests in GE Transportation's Brazil operations held by third parties on the date of acquisition. At the time of acquisition, quotable market prices of the noncontrolling interest existed; therefore, the noncontrolling interest in the GE Transportation Brazil operations were measured using a Level 1 input. In April 2019, the Company acquired the noncontrolling interest in GE Transportation's Brazil operations for $56.2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 of the GE Transportation assets acquired and liabilities assumed: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9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6"/>
                <w:szCs w:val="16"/>
                <w:b w:val="1"/>
                <w:bCs w:val="1"/>
                <w:color w:val="auto"/>
              </w:rPr>
              <w:t>Assets acquired</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Accounts receivable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541.3</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Other current assets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plant, and equipment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1,088.6</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5,983.5</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Trade names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Intellectual property</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Backlog</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1,450.0</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w:t>
            </w:r>
          </w:p>
        </w:tc>
      </w:tr>
      <w:tr>
        <w:trPr>
          <w:trHeight w:val="207"/>
        </w:trPr>
        <w:tc>
          <w:tcPr>
            <w:tcW w:w="20" w:type="dxa"/>
            <w:vAlign w:val="bottom"/>
          </w:tcPr>
          <w:p>
            <w:pPr>
              <w:spacing w:after="0"/>
              <w:rPr>
                <w:sz w:val="17"/>
                <w:szCs w:val="17"/>
                <w:color w:val="auto"/>
              </w:rPr>
            </w:pPr>
          </w:p>
        </w:tc>
        <w:tc>
          <w:tcPr>
            <w:tcW w:w="9700" w:type="dxa"/>
            <w:vAlign w:val="bottom"/>
            <w:gridSpan w:val="2"/>
          </w:tcPr>
          <w:p>
            <w:pPr>
              <w:ind w:left="220"/>
              <w:spacing w:after="0"/>
              <w:rPr>
                <w:sz w:val="20"/>
                <w:szCs w:val="20"/>
                <w:color w:val="auto"/>
              </w:rPr>
            </w:pPr>
            <w:r>
              <w:rPr>
                <w:rFonts w:ascii="Arial" w:cs="Arial" w:eastAsia="Arial" w:hAnsi="Arial"/>
                <w:sz w:val="16"/>
                <w:szCs w:val="16"/>
                <w:color w:val="auto"/>
              </w:rPr>
              <w:t>Total assets acquired</w:t>
            </w: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12,608.0</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assumed</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Current liabilities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1,594.2</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Contingent consideration</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w:t>
            </w:r>
          </w:p>
        </w:tc>
      </w:tr>
      <w:tr>
        <w:trPr>
          <w:trHeight w:val="213"/>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666.5</w:t>
            </w:r>
          </w:p>
        </w:tc>
      </w:tr>
      <w:tr>
        <w:trPr>
          <w:trHeight w:val="210"/>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 assumed</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2,700.7</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r>
    </w:tbl>
    <w:p>
      <w:pPr>
        <w:spacing w:after="0" w:line="148"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revisions to the initial estimates were based on information that existed at the date of the acquisition. Trade names, customer relationships, patents and backlog intangible assets are subject to amortization. Customer relationship and backlog intangible assets are amortized using the straight-line method of amortization using a shortened estimated useful life then the projected future cash flow benefits of the intangible assets. Contingent liabilities assumed as part of the transaction were not material and are related to legal and tax matters. Contingent liabilities are recorded at fair value in purchase accounting, aside from those pertaining to uncertainty in income taxes which are an exception to the fair value basis of accounting. Included in other noncurrent liabilities are approximately $524.6 million of customer contracts whose terms are unfavorable compared to market terms at the date of consummation of the GE Transportation acquisition.</w:t>
      </w:r>
    </w:p>
    <w:p>
      <w:pPr>
        <w:spacing w:after="0" w:line="8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acquisition of GE Transportation. A majority of the purchased goodwill is expected to be deductible for tax purposes. The goodwill has been allocated to the Freight segment.</w:t>
      </w:r>
    </w:p>
    <w:p>
      <w:pPr>
        <w:spacing w:after="0" w:line="79"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Costs related to the acquisition and integration of GE Transportation were approximately $47.5 million and $63.0 million for the years ended December 31, 2020 and 2019, respectively, and are included in selling, general and administrative expenses on the consolidated statements of income.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117" w:lineRule="exact"/>
        <w:rPr>
          <w:sz w:val="20"/>
          <w:szCs w:val="20"/>
          <w:color w:val="auto"/>
        </w:rPr>
      </w:pPr>
    </w:p>
    <w:p>
      <w:pPr>
        <w:ind w:right="80" w:firstLine="486"/>
        <w:spacing w:after="0" w:line="274"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GE Transportation acquisition had occurred January 1, 2019:</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auto"/>
                <w:w w:val="95"/>
              </w:rPr>
              <w:t>Twelve Months</w:t>
            </w: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2"/>
              </w:rPr>
              <w:t>Ended December 31,</w:t>
            </w:r>
          </w:p>
        </w:tc>
      </w:tr>
      <w:tr>
        <w:trPr>
          <w:trHeight w:val="176"/>
        </w:trPr>
        <w:tc>
          <w:tcPr>
            <w:tcW w:w="20" w:type="dxa"/>
            <w:vAlign w:val="bottom"/>
          </w:tcPr>
          <w:p>
            <w:pPr>
              <w:spacing w:after="0"/>
              <w:rPr>
                <w:sz w:val="15"/>
                <w:szCs w:val="15"/>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80" w:type="dxa"/>
            <w:vAlign w:val="bottom"/>
          </w:tcPr>
          <w:p>
            <w:pPr>
              <w:spacing w:after="0"/>
              <w:rPr>
                <w:sz w:val="15"/>
                <w:szCs w:val="15"/>
                <w:color w:val="auto"/>
              </w:rPr>
            </w:pPr>
          </w:p>
        </w:tc>
        <w:tc>
          <w:tcPr>
            <w:tcW w:w="1340" w:type="dxa"/>
            <w:vAlign w:val="bottom"/>
          </w:tcPr>
          <w:p>
            <w:pPr>
              <w:jc w:val="right"/>
              <w:ind w:right="51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8,675.6</w:t>
            </w:r>
          </w:p>
        </w:tc>
      </w:tr>
      <w:tr>
        <w:trPr>
          <w:trHeight w:val="213"/>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2,343.3</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Wabtec shareholders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r>
      <w:tr>
        <w:trPr>
          <w:trHeight w:val="213"/>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As Reported</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0"/>
        </w:trPr>
        <w:tc>
          <w:tcPr>
            <w:tcW w:w="20" w:type="dxa"/>
            <w:vAlign w:val="bottom"/>
          </w:tcPr>
          <w:p>
            <w:pPr>
              <w:spacing w:after="0"/>
              <w:rPr>
                <w:sz w:val="18"/>
                <w:szCs w:val="18"/>
                <w:color w:val="auto"/>
              </w:rPr>
            </w:pPr>
          </w:p>
        </w:tc>
        <w:tc>
          <w:tcPr>
            <w:tcW w:w="9700" w:type="dxa"/>
            <w:vAlign w:val="bottom"/>
            <w:gridSpan w:val="2"/>
          </w:tcPr>
          <w:p>
            <w:pPr>
              <w:ind w:left="340"/>
              <w:spacing w:after="0"/>
              <w:rPr>
                <w:sz w:val="20"/>
                <w:szCs w:val="20"/>
                <w:color w:val="auto"/>
              </w:rPr>
            </w:pPr>
            <w:r>
              <w:rPr>
                <w:rFonts w:ascii="Arial" w:cs="Arial" w:eastAsia="Arial" w:hAnsi="Arial"/>
                <w:sz w:val="16"/>
                <w:szCs w:val="16"/>
                <w:color w:val="auto"/>
              </w:rPr>
              <w:t>Pro forma</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1.45</w:t>
            </w:r>
          </w:p>
        </w:tc>
      </w:tr>
    </w:tbl>
    <w:p>
      <w:pPr>
        <w:spacing w:after="0" w:line="154" w:lineRule="exact"/>
        <w:rPr>
          <w:sz w:val="20"/>
          <w:szCs w:val="20"/>
          <w:color w:val="auto"/>
        </w:rPr>
      </w:pPr>
    </w:p>
    <w:p>
      <w:pPr>
        <w:ind w:right="20" w:firstLine="531"/>
        <w:spacing w:after="0" w:line="279" w:lineRule="auto"/>
        <w:rPr>
          <w:sz w:val="20"/>
          <w:szCs w:val="20"/>
          <w:color w:val="auto"/>
        </w:rPr>
      </w:pPr>
      <w:r>
        <w:rPr>
          <w:rFonts w:ascii="Arial" w:cs="Arial" w:eastAsia="Arial" w:hAnsi="Arial"/>
          <w:sz w:val="17"/>
          <w:szCs w:val="17"/>
          <w:color w:val="auto"/>
        </w:rPr>
        <w:t>The historical consolidated financial information of the Company and the GE Transportation acquisition detailed above has been adjusted in the pro forma information to give effect to pro forma events that are (1) directly attributable to the transactions, (2) factually supportable and (3) expected to have a continuing impact on the combined results. Pro forma data may not be indicative of the results that would have been obtained had the GE Transportation acquisition occurred at the beginning of the periods presented, nor is it intended to be a projection of future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CASH FLOW DISCLOSURES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58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Interest paid during the year</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174.2</w:t>
            </w:r>
          </w:p>
        </w:tc>
        <w:tc>
          <w:tcPr>
            <w:tcW w:w="5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 during the year, net of amount refunded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Business acquisitions: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Fair value of assets acquired</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Arial" w:cs="Arial" w:eastAsia="Arial" w:hAnsi="Arial"/>
                <w:sz w:val="16"/>
                <w:szCs w:val="16"/>
                <w:color w:val="auto"/>
              </w:rPr>
              <w:t>Liabilities assumed</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Non-controlling interest (acquired) assumed</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60" w:type="dxa"/>
            <w:vAlign w:val="bottom"/>
            <w:gridSpan w:val="2"/>
          </w:tcPr>
          <w:p>
            <w:pPr>
              <w:ind w:left="340"/>
              <w:spacing w:after="0"/>
              <w:rPr>
                <w:sz w:val="20"/>
                <w:szCs w:val="20"/>
                <w:color w:val="auto"/>
              </w:rPr>
            </w:pPr>
            <w:r>
              <w:rPr>
                <w:rFonts w:ascii="Arial" w:cs="Arial" w:eastAsia="Arial" w:hAnsi="Arial"/>
                <w:sz w:val="16"/>
                <w:szCs w:val="16"/>
                <w:color w:val="auto"/>
              </w:rPr>
              <w:t>Stock and cash paid</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10,115.7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Cash acquired</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Stock used for acquisition</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4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paid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15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Raw materials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Work-in-progress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374.0</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r>
      <w:tr>
        <w:trPr>
          <w:trHeight w:val="212"/>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6. PROPERTY, PLANT &amp;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major classes of depreciable assets are as follows:</w:t>
      </w:r>
    </w:p>
    <w:p>
      <w:pPr>
        <w:spacing w:after="0" w:line="50"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1,363.8</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Buildings and improvements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774.2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 and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07"/>
        </w:trPr>
        <w:tc>
          <w:tcPr>
            <w:tcW w:w="20" w:type="dxa"/>
            <w:vAlign w:val="bottom"/>
          </w:tcPr>
          <w:p>
            <w:pPr>
              <w:spacing w:after="0"/>
              <w:rPr>
                <w:sz w:val="17"/>
                <w:szCs w:val="17"/>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Property, plant and equipment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2,216.0</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(560.2)</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property, plant and equipment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12"/>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improvements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 to 20</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Building and improvements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20 to 40</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 to 15</w:t>
            </w: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expense was $183.1 million, $157.8 million, and $66.4 million for 2020,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Goodwill and indefinite lived intangible assets are reviewed annually during the fourth quarter for impairment. For 2020, the Company opted to proceed directly to the quantitative impairment test for all reporting units with goodwill. The discounted cash flow approach and the market approach were used to estimate the fair value of each reporting unit using a 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each reporting unit. The market approach requires several assumptions including EBITDA (earnings before interest, taxes, depreciation and amortization) multiples for comparable companies that operate in the same markets as the Company’s reporting units. For 2020, the discounted cash flow approach was given more weight compared to the market approach due to a relatively reduced amount of publicly available data from companies with comparable operations to those of Wabtec; however, both valuation approaches resulted in a conclusion that the estimated fair value of all three of the Company's reporting units was in excess of their respective carrying value, which resulted in a conclusion that no impairment existed.</w:t>
      </w:r>
    </w:p>
    <w:p>
      <w:pPr>
        <w:spacing w:after="0" w:line="77"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Additionally, the Company proceeded directly to the quantitative impairment test for some trade names with indefinite lives. The fair value of all material trade names subject to the quantitative impairment test exceeded its respective carrying value, resulting in a conclusion that no material impairment existed. For trade names not subject to the quantitative testing, the Company opted to perform a qualitative trade name impairment assessment and determined from the qualitative assessment that it was not more likely than not that the estimated fair values of the trade names were less than their carrying values; therefore, no further analysis was required. In assessing the qualitative factors to determine whether it is more likely than not that the fair value of a trade name is less than its carrying amount, the Company assessed relevant events and circumstances that may impact the fair value and the carrying amount of the trade name. The identification of relevant events and circumstances and how these may impact a trade name’s fair value or carrying amount involve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left="500"/>
        <w:spacing w:after="0"/>
        <w:rPr>
          <w:sz w:val="20"/>
          <w:szCs w:val="20"/>
          <w:color w:val="auto"/>
        </w:rPr>
      </w:pPr>
      <w:r>
        <w:rPr>
          <w:rFonts w:ascii="Arial" w:cs="Arial" w:eastAsia="Arial" w:hAnsi="Arial"/>
          <w:sz w:val="18"/>
          <w:szCs w:val="18"/>
          <w:color w:val="auto"/>
        </w:rPr>
        <w:t>The change in the carrying amount of goodwill by segment for the year ended December 31, 2020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Freight</w:t>
            </w:r>
          </w:p>
        </w:tc>
        <w:tc>
          <w:tcPr>
            <w:tcW w:w="2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Transit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134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88"/>
              </w:rPr>
              <w:t>Segment</w:t>
            </w:r>
          </w:p>
        </w:tc>
        <w:tc>
          <w:tcPr>
            <w:tcW w:w="280" w:type="dxa"/>
            <w:vAlign w:val="bottom"/>
          </w:tcPr>
          <w:p>
            <w:pPr>
              <w:spacing w:after="0"/>
              <w:rPr>
                <w:sz w:val="15"/>
                <w:szCs w:val="15"/>
                <w:color w:val="auto"/>
              </w:rPr>
            </w:pPr>
          </w:p>
        </w:tc>
        <w:tc>
          <w:tcPr>
            <w:tcW w:w="134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88"/>
              </w:rPr>
              <w:t>Segment</w:t>
            </w:r>
          </w:p>
        </w:tc>
        <w:tc>
          <w:tcPr>
            <w:tcW w:w="340" w:type="dxa"/>
            <w:vAlign w:val="bottom"/>
          </w:tcPr>
          <w:p>
            <w:pPr>
              <w:spacing w:after="0"/>
              <w:rPr>
                <w:sz w:val="15"/>
                <w:szCs w:val="15"/>
                <w:color w:val="auto"/>
              </w:rPr>
            </w:pPr>
          </w:p>
        </w:tc>
        <w:tc>
          <w:tcPr>
            <w:tcW w:w="1180" w:type="dxa"/>
            <w:vAlign w:val="bottom"/>
          </w:tcPr>
          <w:p>
            <w:pPr>
              <w:jc w:val="right"/>
              <w:ind w:right="499"/>
              <w:spacing w:after="0" w:line="181"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8,360.6</w:t>
            </w: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Disposals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Foreign currency impact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December 31, 2020 and 2019, the Company’s trade names had a net carrying amount of $650.7 million and $623.1 million, respectively, and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50"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Intellectual property, patents, and other intangibles, net of accumulated amortization of $222.8 and $123.8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1,108.9</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Backlog, net of accumulated amortization of $205.9 and $92.0</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1,342.1</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relationships, net of accumulated amortization of $276.3 and $212.9</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1,029.9</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remaining weighted average useful lives of backlog, intellectual property, customer relationships, and other intangibles were 13 years, 12 years, 17 years, and 8 years, respectively. The backlog intangible primarily consists of in-place long-term service agreements acquired by the Company in conjunction with the acquisition of GE Transportation. Amortization expense for intangible assets was $282.4 million, $238.4 million, and $39.8 million for the years ended December 31, 2020, 2019, and 2018, respectively.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amortization expense for the five succeeding years is as follows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jc w:val="right"/>
              <w:ind w:right="4539"/>
              <w:spacing w:after="0"/>
              <w:rPr>
                <w:sz w:val="20"/>
                <w:szCs w:val="20"/>
                <w:color w:val="auto"/>
              </w:rPr>
            </w:pPr>
            <w:r>
              <w:rPr>
                <w:rFonts w:ascii="Arial" w:cs="Arial" w:eastAsia="Arial" w:hAnsi="Arial"/>
                <w:sz w:val="16"/>
                <w:szCs w:val="16"/>
                <w:color w:val="auto"/>
              </w:rPr>
              <w:t>2021</w:t>
            </w:r>
          </w:p>
        </w:tc>
        <w:tc>
          <w:tcPr>
            <w:tcW w:w="5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w:t>
            </w:r>
          </w:p>
        </w:tc>
      </w:tr>
      <w:tr>
        <w:trPr>
          <w:trHeight w:val="213"/>
        </w:trPr>
        <w:tc>
          <w:tcPr>
            <w:tcW w:w="5100" w:type="dxa"/>
            <w:vAlign w:val="bottom"/>
          </w:tcPr>
          <w:p>
            <w:pPr>
              <w:jc w:val="right"/>
              <w:ind w:right="4539"/>
              <w:spacing w:after="0"/>
              <w:rPr>
                <w:sz w:val="20"/>
                <w:szCs w:val="20"/>
                <w:color w:val="auto"/>
              </w:rPr>
            </w:pPr>
            <w:r>
              <w:rPr>
                <w:rFonts w:ascii="Arial" w:cs="Arial" w:eastAsia="Arial" w:hAnsi="Arial"/>
                <w:sz w:val="16"/>
                <w:szCs w:val="16"/>
                <w:color w:val="auto"/>
              </w:rPr>
              <w:t>2022</w:t>
            </w:r>
          </w:p>
        </w:tc>
        <w:tc>
          <w:tcPr>
            <w:tcW w:w="5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277.6</w:t>
            </w:r>
          </w:p>
        </w:tc>
      </w:tr>
      <w:tr>
        <w:trPr>
          <w:trHeight w:val="219"/>
        </w:trPr>
        <w:tc>
          <w:tcPr>
            <w:tcW w:w="5100" w:type="dxa"/>
            <w:vAlign w:val="bottom"/>
            <w:shd w:val="clear" w:color="auto" w:fill="CCEEFF"/>
          </w:tcPr>
          <w:p>
            <w:pPr>
              <w:jc w:val="right"/>
              <w:ind w:right="4539"/>
              <w:spacing w:after="0"/>
              <w:rPr>
                <w:sz w:val="20"/>
                <w:szCs w:val="20"/>
                <w:color w:val="auto"/>
              </w:rPr>
            </w:pPr>
            <w:r>
              <w:rPr>
                <w:rFonts w:ascii="Arial" w:cs="Arial" w:eastAsia="Arial" w:hAnsi="Arial"/>
                <w:sz w:val="16"/>
                <w:szCs w:val="16"/>
                <w:color w:val="auto"/>
              </w:rPr>
              <w:t>2023</w:t>
            </w:r>
          </w:p>
        </w:tc>
        <w:tc>
          <w:tcPr>
            <w:tcW w:w="5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r>
      <w:tr>
        <w:trPr>
          <w:trHeight w:val="213"/>
        </w:trPr>
        <w:tc>
          <w:tcPr>
            <w:tcW w:w="5100" w:type="dxa"/>
            <w:vAlign w:val="bottom"/>
          </w:tcPr>
          <w:p>
            <w:pPr>
              <w:jc w:val="right"/>
              <w:ind w:right="4539"/>
              <w:spacing w:after="0"/>
              <w:rPr>
                <w:sz w:val="20"/>
                <w:szCs w:val="20"/>
                <w:color w:val="auto"/>
              </w:rPr>
            </w:pPr>
            <w:r>
              <w:rPr>
                <w:rFonts w:ascii="Arial" w:cs="Arial" w:eastAsia="Arial" w:hAnsi="Arial"/>
                <w:sz w:val="16"/>
                <w:szCs w:val="16"/>
                <w:color w:val="auto"/>
              </w:rPr>
              <w:t>2024</w:t>
            </w:r>
          </w:p>
        </w:tc>
        <w:tc>
          <w:tcPr>
            <w:tcW w:w="5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267.6</w:t>
            </w:r>
          </w:p>
        </w:tc>
      </w:tr>
      <w:tr>
        <w:trPr>
          <w:trHeight w:val="219"/>
        </w:trPr>
        <w:tc>
          <w:tcPr>
            <w:tcW w:w="5100" w:type="dxa"/>
            <w:vAlign w:val="bottom"/>
            <w:shd w:val="clear" w:color="auto" w:fill="CCEEFF"/>
          </w:tcPr>
          <w:p>
            <w:pPr>
              <w:jc w:val="right"/>
              <w:ind w:right="4539"/>
              <w:spacing w:after="0"/>
              <w:rPr>
                <w:sz w:val="20"/>
                <w:szCs w:val="20"/>
                <w:color w:val="auto"/>
              </w:rPr>
            </w:pPr>
            <w:r>
              <w:rPr>
                <w:rFonts w:ascii="Arial" w:cs="Arial" w:eastAsia="Arial" w:hAnsi="Arial"/>
                <w:sz w:val="16"/>
                <w:szCs w:val="16"/>
                <w:color w:val="auto"/>
              </w:rPr>
              <w:t>2025</w:t>
            </w:r>
          </w:p>
        </w:tc>
        <w:tc>
          <w:tcPr>
            <w:tcW w:w="5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CONTRACT ASSETS AND CONTRACT LIABILITIES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$101.0 million and $109.4 million at December 31, 2020 and 2019, respectively. Included in noncurrent contract assets are certain costs that are specifically related to a contract, however, do not directly contribute to the transfer of control of the tangible product being created, such as pre-production costs. The Company has elected to use the practical expedient and not consider unbilled amounts anticipated to be paid within one year as significant financing components.</w:t>
      </w:r>
    </w:p>
    <w:p>
      <w:pPr>
        <w:spacing w:after="0" w:line="69"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$79.6 million and $77.0 million at December 31, 2020 and 2019, respectively.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$108.9 million and $118.5 million at December 31, 2020 and 2019, respectively. These provisions for estimated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losses are classified as current liabilities and included within the caption “Other accrued liabilities” on the consolidated balance sheet.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contract assets and liabilities as follows:</w:t>
      </w:r>
    </w:p>
    <w:p>
      <w:pPr>
        <w:spacing w:after="0" w:line="158"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Contract Assets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Arial" w:cs="Arial" w:eastAsia="Arial" w:hAnsi="Arial"/>
                <w:sz w:val="16"/>
                <w:szCs w:val="16"/>
                <w:color w:val="auto"/>
              </w:rPr>
              <w:t>Acquisitions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Recognized in 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619.3</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Arial" w:cs="Arial" w:eastAsia="Arial" w:hAnsi="Arial"/>
                <w:sz w:val="16"/>
                <w:szCs w:val="16"/>
                <w:color w:val="auto"/>
              </w:rPr>
              <w:t>Reclassified to accounts receivable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(578.6)</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currency impact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Contract Liabilities</w:t>
            </w:r>
          </w:p>
        </w:tc>
      </w:tr>
      <w:tr>
        <w:trPr>
          <w:trHeight w:val="182"/>
        </w:trPr>
        <w:tc>
          <w:tcPr>
            <w:tcW w:w="20" w:type="dxa"/>
            <w:vAlign w:val="bottom"/>
          </w:tcPr>
          <w:p>
            <w:pPr>
              <w:spacing w:after="0"/>
              <w:rPr>
                <w:sz w:val="15"/>
                <w:szCs w:val="15"/>
                <w:color w:val="auto"/>
              </w:rPr>
            </w:pPr>
          </w:p>
        </w:tc>
        <w:tc>
          <w:tcPr>
            <w:tcW w:w="808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19"/>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19"/>
              <w:spacing w:after="0" w:line="181"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Arial" w:cs="Arial" w:eastAsia="Arial" w:hAnsi="Arial"/>
                <w:sz w:val="16"/>
                <w:szCs w:val="16"/>
                <w:color w:val="auto"/>
              </w:rPr>
              <w:t>Acquisitions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Recognized in 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917.5</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Arial" w:cs="Arial" w:eastAsia="Arial" w:hAnsi="Arial"/>
                <w:sz w:val="16"/>
                <w:szCs w:val="16"/>
                <w:color w:val="auto"/>
              </w:rPr>
              <w:t>Amounts in beginning balance reclassified to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(410.6)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year amounts reclassified to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Foreign currency impact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Interest Rate</w:t>
            </w:r>
          </w:p>
        </w:tc>
        <w:tc>
          <w:tcPr>
            <w:tcW w:w="1640" w:type="dxa"/>
            <w:vAlign w:val="bottom"/>
            <w:gridSpan w:val="3"/>
          </w:tcPr>
          <w:p>
            <w:pPr>
              <w:jc w:val="right"/>
              <w:ind w:right="620"/>
              <w:spacing w:after="0" w:line="145" w:lineRule="exact"/>
              <w:rPr>
                <w:sz w:val="20"/>
                <w:szCs w:val="20"/>
                <w:color w:val="auto"/>
              </w:rPr>
            </w:pPr>
            <w:r>
              <w:rPr>
                <w:rFonts w:ascii="Arial" w:cs="Arial" w:eastAsia="Arial" w:hAnsi="Arial"/>
                <w:sz w:val="14"/>
                <w:szCs w:val="14"/>
                <w:b w:val="1"/>
                <w:bCs w:val="1"/>
                <w:color w:val="auto"/>
              </w:rPr>
              <w:t>Book Value</w:t>
            </w:r>
          </w:p>
        </w:tc>
        <w:tc>
          <w:tcPr>
            <w:tcW w:w="1140" w:type="dxa"/>
            <w:vAlign w:val="bottom"/>
          </w:tcPr>
          <w:p>
            <w:pPr>
              <w:jc w:val="right"/>
              <w:ind w:right="229"/>
              <w:spacing w:after="0" w:line="145" w:lineRule="exact"/>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1640" w:type="dxa"/>
            <w:vAlign w:val="bottom"/>
            <w:gridSpan w:val="3"/>
          </w:tcPr>
          <w:p>
            <w:pPr>
              <w:jc w:val="right"/>
              <w:ind w:right="620"/>
              <w:spacing w:after="0" w:line="145" w:lineRule="exact"/>
              <w:rPr>
                <w:sz w:val="20"/>
                <w:szCs w:val="20"/>
                <w:color w:val="auto"/>
              </w:rPr>
            </w:pPr>
            <w:r>
              <w:rPr>
                <w:rFonts w:ascii="Arial" w:cs="Arial" w:eastAsia="Arial" w:hAnsi="Arial"/>
                <w:sz w:val="14"/>
                <w:szCs w:val="14"/>
                <w:b w:val="1"/>
                <w:bCs w:val="1"/>
                <w:color w:val="auto"/>
              </w:rPr>
              <w:t>Book Value</w:t>
            </w:r>
          </w:p>
        </w:tc>
        <w:tc>
          <w:tcPr>
            <w:tcW w:w="1140" w:type="dxa"/>
            <w:vAlign w:val="bottom"/>
          </w:tcPr>
          <w:p>
            <w:pPr>
              <w:jc w:val="right"/>
              <w:ind w:right="229"/>
              <w:spacing w:after="0" w:line="145" w:lineRule="exact"/>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and 364 Day Facility:</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2"/>
              </w:rPr>
              <w:t>U.S. dollar-denominated Term Loans, net of unamortized debt issuance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684.7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costs of $0.9 and $1.1</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Multi-Currency Revolving loan facility net of unamortized debt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6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costs of $0.8 and $0.9</w:t>
            </w:r>
          </w:p>
        </w:tc>
        <w:tc>
          <w:tcPr>
            <w:tcW w:w="1120" w:type="dxa"/>
            <w:vAlign w:val="bottom"/>
            <w:gridSpan w:val="2"/>
            <w:vMerge w:val="continue"/>
            <w:shd w:val="clear" w:color="auto" w:fill="CCEEFF"/>
          </w:tcPr>
          <w:p>
            <w:pPr>
              <w:spacing w:after="0"/>
              <w:rPr>
                <w:sz w:val="16"/>
                <w:szCs w:val="16"/>
                <w:color w:val="auto"/>
              </w:rPr>
            </w:pPr>
          </w:p>
        </w:tc>
        <w:tc>
          <w:tcPr>
            <w:tcW w:w="1640" w:type="dxa"/>
            <w:vAlign w:val="bottom"/>
            <w:gridSpan w:val="3"/>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Senior Notes: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w w:val="99"/>
              </w:rPr>
              <w:t>Floating Senior Notes, due 2021, net of unamortized debt issuance</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6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of $0.0 and $2.0</w:t>
            </w:r>
          </w:p>
        </w:tc>
        <w:tc>
          <w:tcPr>
            <w:tcW w:w="1120" w:type="dxa"/>
            <w:vAlign w:val="bottom"/>
            <w:gridSpan w:val="2"/>
            <w:vMerge w:val="continue"/>
            <w:shd w:val="clear" w:color="auto" w:fill="CCEEFF"/>
          </w:tcPr>
          <w:p>
            <w:pPr>
              <w:spacing w:after="0"/>
              <w:rPr>
                <w:sz w:val="16"/>
                <w:szCs w:val="16"/>
                <w:color w:val="auto"/>
              </w:rPr>
            </w:pPr>
          </w:p>
        </w:tc>
        <w:tc>
          <w:tcPr>
            <w:tcW w:w="1640" w:type="dxa"/>
            <w:vAlign w:val="bottom"/>
            <w:gridSpan w:val="3"/>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4"/>
              </w:rPr>
              <w:t>4.375% Senior Notes, due 2023, net of unamortized discount and debt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249.3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issuance costs of $0.7 and $0.9</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w w:val="93"/>
              </w:rPr>
              <w:t>4.15% Senior Notes, due 2024, net of unamortized debt issuance costs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745.7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817.3</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of $4.3 and $5.7</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3"/>
              </w:rPr>
              <w:t>3.20% Senior Notes, due 2025, net of unamortized debt issuance costs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495.6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533.4</w:t>
            </w:r>
          </w:p>
        </w:tc>
        <w:tc>
          <w:tcPr>
            <w:tcW w:w="100" w:type="dxa"/>
            <w:vAlign w:val="bottom"/>
          </w:tcPr>
          <w:p>
            <w:pPr>
              <w:spacing w:after="0"/>
              <w:rPr>
                <w:sz w:val="11"/>
                <w:szCs w:val="11"/>
                <w:color w:val="auto"/>
              </w:rPr>
            </w:pPr>
          </w:p>
        </w:tc>
        <w:tc>
          <w:tcPr>
            <w:tcW w:w="164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of $4.4 and $0.0</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w w:val="93"/>
              </w:rPr>
              <w:t>3.45% Senior Notes, due 2026, net of unamortized debt issuance costs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of $1.3 and $1.5</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6"/>
              </w:rPr>
              <w:t>4.70% Senior Notes, due 2028, net of unamortized discount and debt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1,241.8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1,472.2</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1,240.8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1,378.3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issuance costs of $8.2 and $9.3</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2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4,239.4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4,667.6</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4,429.3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4,655.4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Less - current portion</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240"/>
              <w:spacing w:after="0"/>
              <w:rPr>
                <w:sz w:val="20"/>
                <w:szCs w:val="20"/>
                <w:color w:val="auto"/>
              </w:rPr>
            </w:pPr>
            <w:r>
              <w:rPr>
                <w:rFonts w:ascii="Arial" w:cs="Arial" w:eastAsia="Arial" w:hAnsi="Arial"/>
                <w:sz w:val="14"/>
                <w:szCs w:val="14"/>
                <w:color w:val="auto"/>
              </w:rPr>
              <w:t>Long-term portion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4,220.4</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40" w:hanging="103"/>
        <w:spacing w:after="0"/>
        <w:tabs>
          <w:tab w:leader="none" w:pos="140" w:val="left"/>
        </w:tabs>
        <w:numPr>
          <w:ilvl w:val="0"/>
          <w:numId w:val="32"/>
        </w:numPr>
        <w:rPr>
          <w:rFonts w:ascii="Arial" w:cs="Arial" w:eastAsia="Arial" w:hAnsi="Arial"/>
          <w:sz w:val="23"/>
          <w:szCs w:val="23"/>
          <w:color w:val="auto"/>
          <w:vertAlign w:val="superscript"/>
        </w:rPr>
      </w:pPr>
      <w:r>
        <w:rPr>
          <w:rFonts w:ascii="Arial" w:cs="Arial" w:eastAsia="Arial" w:hAnsi="Arial"/>
          <w:sz w:val="14"/>
          <w:szCs w:val="14"/>
          <w:color w:val="auto"/>
        </w:rPr>
        <w:t>See Note 18 for information on the fair value measurement of the Company's long-term debt.</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2020, the annual repayment requirements for debt obligations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46595"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046595" cy="1200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560" w:type="dxa"/>
            <w:vAlign w:val="bottom"/>
          </w:tcPr>
          <w:p>
            <w:pPr>
              <w:jc w:val="right"/>
              <w:ind w:right="8999"/>
              <w:spacing w:after="0"/>
              <w:rPr>
                <w:sz w:val="20"/>
                <w:szCs w:val="20"/>
                <w:color w:val="auto"/>
              </w:rPr>
            </w:pPr>
            <w:r>
              <w:rPr>
                <w:rFonts w:ascii="Arial" w:cs="Arial" w:eastAsia="Arial" w:hAnsi="Arial"/>
                <w:sz w:val="16"/>
                <w:szCs w:val="16"/>
                <w:color w:val="auto"/>
              </w:rPr>
              <w:t>2021</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447.2</w:t>
            </w:r>
          </w:p>
        </w:tc>
      </w:tr>
      <w:tr>
        <w:trPr>
          <w:trHeight w:val="219"/>
        </w:trPr>
        <w:tc>
          <w:tcPr>
            <w:tcW w:w="9560" w:type="dxa"/>
            <w:vAlign w:val="bottom"/>
            <w:shd w:val="clear" w:color="auto" w:fill="CCEEFF"/>
          </w:tcPr>
          <w:p>
            <w:pPr>
              <w:jc w:val="right"/>
              <w:ind w:right="8999"/>
              <w:spacing w:after="0"/>
              <w:rPr>
                <w:sz w:val="20"/>
                <w:szCs w:val="20"/>
                <w:color w:val="auto"/>
              </w:rPr>
            </w:pPr>
            <w:r>
              <w:rPr>
                <w:rFonts w:ascii="Arial" w:cs="Arial" w:eastAsia="Arial" w:hAnsi="Arial"/>
                <w:sz w:val="16"/>
                <w:szCs w:val="16"/>
                <w:color w:val="auto"/>
              </w:rPr>
              <w:t>2022</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r>
      <w:tr>
        <w:trPr>
          <w:trHeight w:val="213"/>
        </w:trPr>
        <w:tc>
          <w:tcPr>
            <w:tcW w:w="9560" w:type="dxa"/>
            <w:vAlign w:val="bottom"/>
          </w:tcPr>
          <w:p>
            <w:pPr>
              <w:jc w:val="right"/>
              <w:ind w:right="8999"/>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249.3</w:t>
            </w:r>
          </w:p>
        </w:tc>
      </w:tr>
      <w:tr>
        <w:trPr>
          <w:trHeight w:val="219"/>
        </w:trPr>
        <w:tc>
          <w:tcPr>
            <w:tcW w:w="9560" w:type="dxa"/>
            <w:vAlign w:val="bottom"/>
            <w:shd w:val="clear" w:color="auto" w:fill="CCEEFF"/>
          </w:tcPr>
          <w:p>
            <w:pPr>
              <w:jc w:val="right"/>
              <w:ind w:right="8999"/>
              <w:spacing w:after="0"/>
              <w:rPr>
                <w:sz w:val="20"/>
                <w:szCs w:val="20"/>
                <w:color w:val="auto"/>
              </w:rPr>
            </w:pPr>
            <w:r>
              <w:rPr>
                <w:rFonts w:ascii="Arial" w:cs="Arial" w:eastAsia="Arial" w:hAnsi="Arial"/>
                <w:sz w:val="16"/>
                <w:szCs w:val="16"/>
                <w:color w:val="auto"/>
              </w:rPr>
              <w:t>2024</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745.7</w:t>
            </w:r>
          </w:p>
        </w:tc>
      </w:tr>
      <w:tr>
        <w:trPr>
          <w:trHeight w:val="213"/>
        </w:trPr>
        <w:tc>
          <w:tcPr>
            <w:tcW w:w="9560" w:type="dxa"/>
            <w:vAlign w:val="bottom"/>
          </w:tcPr>
          <w:p>
            <w:pPr>
              <w:jc w:val="right"/>
              <w:ind w:right="8999"/>
              <w:spacing w:after="0"/>
              <w:rPr>
                <w:sz w:val="20"/>
                <w:szCs w:val="20"/>
                <w:color w:val="auto"/>
              </w:rPr>
            </w:pPr>
            <w:r>
              <w:rPr>
                <w:rFonts w:ascii="Arial" w:cs="Arial" w:eastAsia="Arial" w:hAnsi="Arial"/>
                <w:sz w:val="16"/>
                <w:szCs w:val="16"/>
                <w:color w:val="auto"/>
              </w:rPr>
              <w:t>2025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495.6</w:t>
            </w: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1,990.5</w:t>
            </w:r>
          </w:p>
        </w:tc>
      </w:tr>
      <w:tr>
        <w:trPr>
          <w:trHeight w:val="213"/>
        </w:trPr>
        <w:tc>
          <w:tcPr>
            <w:tcW w:w="9560" w:type="dxa"/>
            <w:vAlign w:val="bottom"/>
          </w:tcPr>
          <w:p>
            <w:pPr>
              <w:ind w:left="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4,239.4</w:t>
            </w:r>
          </w:p>
        </w:tc>
      </w:tr>
      <w:tr>
        <w:trPr>
          <w:trHeight w:val="20"/>
        </w:trPr>
        <w:tc>
          <w:tcPr>
            <w:tcW w:w="9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rPr>
          <w:sz w:val="20"/>
          <w:szCs w:val="20"/>
          <w:color w:val="auto"/>
        </w:rPr>
      </w:pPr>
      <w:r>
        <w:rPr>
          <w:rFonts w:ascii="Arial" w:cs="Arial" w:eastAsia="Arial" w:hAnsi="Arial"/>
          <w:sz w:val="18"/>
          <w:szCs w:val="18"/>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December 31, 2020 and 2019, the Company had total unamortized debt issuance costs of $20.5 million and $21.3 million, respectively. At December 31, 2020, the weighted average interest rate on the Company's variable debt was 2.3%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 The Revolving Credit Facility will mature on June 8, 2023.</w:t>
      </w:r>
    </w:p>
    <w:p>
      <w:pPr>
        <w:spacing w:after="0" w:line="8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ABR rate or the LIBOR rate (each as defined in the Senior Credit Facility) plus applicable margin that is determined based on our credit ratings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5" w:name="page66"/>
    <w:bookmarkEnd w:id="65"/>
    <w:p>
      <w:pPr>
        <w:ind w:right="360"/>
        <w:spacing w:after="0" w:line="308" w:lineRule="auto"/>
        <w:rPr>
          <w:sz w:val="20"/>
          <w:szCs w:val="20"/>
          <w:color w:val="auto"/>
        </w:rPr>
      </w:pPr>
      <w:r>
        <w:rPr>
          <w:rFonts w:ascii="Arial" w:cs="Arial" w:eastAsia="Arial" w:hAnsi="Arial"/>
          <w:sz w:val="17"/>
          <w:szCs w:val="17"/>
          <w:color w:val="auto"/>
        </w:rPr>
        <w:t>or the Company's Leverage.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3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 ended: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Interest Coverage Ratio </w:t>
            </w:r>
            <w:r>
              <w:rPr>
                <w:rFonts w:ascii="Arial" w:cs="Arial" w:eastAsia="Arial" w:hAnsi="Arial"/>
                <w:sz w:val="21"/>
                <w:szCs w:val="21"/>
                <w:color w:val="auto"/>
                <w:vertAlign w:val="superscript"/>
              </w:rPr>
              <w:t>1</w:t>
            </w:r>
          </w:p>
        </w:tc>
        <w:tc>
          <w:tcPr>
            <w:tcW w:w="4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3.0x</w:t>
            </w:r>
          </w:p>
        </w:tc>
      </w:tr>
      <w:tr>
        <w:trPr>
          <w:trHeight w:val="306"/>
        </w:trPr>
        <w:tc>
          <w:tcPr>
            <w:tcW w:w="6260" w:type="dxa"/>
            <w:vAlign w:val="bottom"/>
          </w:tcPr>
          <w:p>
            <w:pPr>
              <w:ind w:left="20"/>
              <w:spacing w:after="0"/>
              <w:rPr>
                <w:sz w:val="20"/>
                <w:szCs w:val="20"/>
                <w:color w:val="auto"/>
              </w:rPr>
            </w:pPr>
            <w:r>
              <w:rPr>
                <w:rFonts w:ascii="Arial" w:cs="Arial" w:eastAsia="Arial" w:hAnsi="Arial"/>
                <w:sz w:val="16"/>
                <w:szCs w:val="16"/>
                <w:color w:val="auto"/>
              </w:rPr>
              <w:t xml:space="preserve">Leverage Ratio </w:t>
            </w:r>
            <w:r>
              <w:rPr>
                <w:rFonts w:ascii="Arial" w:cs="Arial" w:eastAsia="Arial" w:hAnsi="Arial"/>
                <w:sz w:val="21"/>
                <w:szCs w:val="21"/>
                <w:color w:val="auto"/>
                <w:vertAlign w:val="superscript"/>
              </w:rPr>
              <w:t>2</w:t>
            </w:r>
          </w:p>
        </w:tc>
        <w:tc>
          <w:tcPr>
            <w:tcW w:w="4980" w:type="dxa"/>
            <w:vAlign w:val="bottom"/>
          </w:tcPr>
          <w:p>
            <w:pPr>
              <w:jc w:val="right"/>
              <w:spacing w:after="0"/>
              <w:rPr>
                <w:sz w:val="20"/>
                <w:szCs w:val="20"/>
                <w:color w:val="auto"/>
              </w:rPr>
            </w:pPr>
            <w:r>
              <w:rPr>
                <w:rFonts w:ascii="Arial" w:cs="Arial" w:eastAsia="Arial" w:hAnsi="Arial"/>
                <w:sz w:val="16"/>
                <w:szCs w:val="16"/>
                <w:color w:val="auto"/>
              </w:rPr>
              <w:t>3.25x</w:t>
            </w:r>
          </w:p>
        </w:tc>
      </w:tr>
    </w:tbl>
    <w:p>
      <w:pPr>
        <w:spacing w:after="0" w:line="81"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interest coverage ratio is defined as EBITDA, as defined in the Credit Agreement and Term Loan Agreement, to net interest expense for the four quarters then ended.</w:t>
      </w:r>
    </w:p>
    <w:p>
      <w:pPr>
        <w:spacing w:after="0" w:line="13" w:lineRule="exact"/>
        <w:rPr>
          <w:rFonts w:ascii="Arial" w:cs="Arial" w:eastAsia="Arial" w:hAnsi="Arial"/>
          <w:sz w:val="14"/>
          <w:szCs w:val="14"/>
          <w:color w:val="auto"/>
        </w:rPr>
      </w:pPr>
    </w:p>
    <w:p>
      <w:pPr>
        <w:ind w:right="180" w:firstLine="8"/>
        <w:spacing w:after="0" w:line="255" w:lineRule="auto"/>
        <w:tabs>
          <w:tab w:leader="none" w:pos="14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Amendment Credit Agreement and Term Loan Agreement, for the four quarters then ended.</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covenants in the Senior Credit Facility as of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364-Day Facility</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April 10, 2020 the Company entered into a new $600 million 364 day credit facility ("364 Day Facility") maturing April 2021 with a group of banks which includes a $144.0 million revolving credit facility ("364 Day Revolver") and a $456.0 million term loan ("364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existing Senior Credit Facility. The obligations under the 364 Day Facility are guaranteed by certain of the Company's U.S. subsidiaries, as guarantors. On June 12, 2020 the Company amended the 364 Day Facility maturity to July 9, 2021. The Company was in compliance with all covenants in the 364 Senior Credit Facility as of December 31, 2020.</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Revolving Facilities: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Revolving Credit Facility</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364 Day Revolver</w:t>
            </w:r>
          </w:p>
        </w:tc>
      </w:tr>
      <w:tr>
        <w:trPr>
          <w:trHeight w:val="21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 Availability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r>
      <w:tr>
        <w:trPr>
          <w:trHeight w:val="213"/>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Letters of Credit Under Credit Agreement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Availability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"Senior Notes" comprises our 4.375% Senior Notes due 2023, 4.15% Senior Notes due 2024, 3.20% Senior Notes due 2025, 3.45% Senior Notes due 2026 and 4.70% Senior Notes due 2028. Interest on the fixed-rate Senior Notes is payable semi-annually. The Company may redeem each series of the notes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Senior Notes are senior unsecured obligations of the Company and rank pari passu with all existing and future senior debt and senior to all existing and future subordinated indebtedness of the Company.</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June 29, 2020 the Company issued $500.0 million of 3.20% Senior Notes due in 2025 (the "2025 Notes"). The 2025 Notes were issued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99.892% of face value. Interest on the 2025 Notes accrues at a rate of 3.20% per annum and is payable semi-annually on June 15 and December 15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beginning December 15, 2020. The proceeds were used to redeem the Floating Rate Senior Notes due 2021. The Company incurred $1.5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financing costs related to the issuance of the 2025 Notes.</w:t>
      </w:r>
    </w:p>
    <w:p>
      <w:pPr>
        <w:spacing w:after="0" w:line="1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w:t>
      </w:r>
    </w:p>
    <w:p>
      <w:pPr>
        <w:spacing w:after="0" w:line="7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Cash Pooling</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Wabtec aggregates the Company's domestic cash position on a daily basis. Outside the United States, the Company uses cash pooling arrangements with banks to help manage our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In the ordinary course of its business, the Company issues letters of credit related to commercial products. The outstanding amount, including the letters of credit issues under the credit facility, were $736.6 million and $714.0 million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7" w:name="page68"/>
    <w:bookmarkEnd w:id="67"/>
    <w:p>
      <w:pPr>
        <w:ind w:right="8420" w:firstLine="8"/>
        <w:spacing w:after="0" w:line="378" w:lineRule="auto"/>
        <w:tabs>
          <w:tab w:leader="none" w:pos="27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540" w:firstLine="486"/>
        <w:spacing w:after="0" w:line="342" w:lineRule="auto"/>
        <w:rPr>
          <w:sz w:val="20"/>
          <w:szCs w:val="20"/>
          <w:color w:val="auto"/>
        </w:rPr>
      </w:pPr>
      <w:r>
        <w:rPr>
          <w:rFonts w:ascii="Arial" w:cs="Arial" w:eastAsia="Arial" w:hAnsi="Arial"/>
          <w:sz w:val="16"/>
          <w:szCs w:val="16"/>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1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tables provide information regarding the Company’s significant defined benefit pension plans summarized by U.S. and international components.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96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Change in projected benefit obligation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Obligation at beginning of year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Employee contributions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Plan settlements and amendments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Benefits paid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Acquisition</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Actuarial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Effect of currency rate changes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96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Obligation at end of year</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Change in plan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Fair value of plan assets at beginning of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Employer contributions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Employee contributions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Benefits paid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Settlements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currency rate changes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460"/>
              <w:spacing w:after="0"/>
              <w:rPr>
                <w:sz w:val="20"/>
                <w:szCs w:val="20"/>
                <w:color w:val="auto"/>
              </w:rPr>
            </w:pPr>
            <w:r>
              <w:rPr>
                <w:rFonts w:ascii="Arial" w:cs="Arial" w:eastAsia="Arial" w:hAnsi="Arial"/>
                <w:sz w:val="16"/>
                <w:szCs w:val="16"/>
                <w:color w:val="auto"/>
              </w:rPr>
              <w:t>Fair value of plan assets at end of year</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Funded status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Fair value of plan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Benefit obligations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460"/>
              <w:spacing w:after="0"/>
              <w:rPr>
                <w:sz w:val="20"/>
                <w:szCs w:val="20"/>
                <w:color w:val="auto"/>
              </w:rPr>
            </w:pPr>
            <w:r>
              <w:rPr>
                <w:rFonts w:ascii="Arial" w:cs="Arial" w:eastAsia="Arial" w:hAnsi="Arial"/>
                <w:sz w:val="16"/>
                <w:szCs w:val="16"/>
                <w:color w:val="auto"/>
              </w:rPr>
              <w:t>Funded status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Amounts recognized in the statement of financial position consist of:</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Noncurrent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Noncurrent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amount recognized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60" w:type="dxa"/>
            <w:vAlign w:val="bottom"/>
            <w:tcBorders>
              <w:top w:val="single" w:sz="8" w:color="CCEEFF"/>
              <w:bottom w:val="single" w:sz="8" w:color="CCEEFF"/>
            </w:tcBorders>
            <w:gridSpan w:val="2"/>
            <w:vMerge w:val="restart"/>
          </w:tcPr>
          <w:p>
            <w:pPr>
              <w:spacing w:after="0" w:line="149" w:lineRule="exact"/>
              <w:rPr>
                <w:sz w:val="20"/>
                <w:szCs w:val="20"/>
                <w:color w:val="auto"/>
              </w:rPr>
            </w:pPr>
            <w:r>
              <w:rPr>
                <w:rFonts w:ascii="Arial" w:cs="Arial" w:eastAsia="Arial" w:hAnsi="Arial"/>
                <w:sz w:val="16"/>
                <w:szCs w:val="16"/>
                <w:b w:val="1"/>
                <w:bCs w:val="1"/>
                <w:color w:val="auto"/>
                <w:w w:val="93"/>
              </w:rPr>
              <w:t>Amounts recognized in accumulated other comprehensive income (loss) before tax</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59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consist of:</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Prior service cost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 actuarial loss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amount recognized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8" w:name="page69"/>
    <w:bookmarkEnd w:id="68"/>
    <w:p>
      <w:pPr>
        <w:jc w:val="both"/>
        <w:ind w:right="180" w:firstLine="486"/>
        <w:spacing w:after="0" w:line="263" w:lineRule="auto"/>
        <w:rPr>
          <w:sz w:val="20"/>
          <w:szCs w:val="20"/>
          <w:color w:val="auto"/>
        </w:rPr>
      </w:pPr>
      <w:r>
        <w:rPr>
          <w:rFonts w:ascii="Arial" w:cs="Arial" w:eastAsia="Arial" w:hAnsi="Arial"/>
          <w:sz w:val="18"/>
          <w:szCs w:val="18"/>
          <w:color w:val="auto"/>
        </w:rPr>
        <w:t>The aggregate accumulated benefit obligation for the U.S. pension plans was $41.8 million and $40.2 million as of December 31, 2020 and 2019, respectively. The aggregate accumulated benefit obligation for the international pension plans was $371.8 million and $336.0 million as of December 31, 2020 and 2019, respectively.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96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96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2"/>
              </w:rPr>
              <w:t>Information for pension plans with accumulated benefit obligations in excess of Plan</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6"/>
                <w:szCs w:val="16"/>
                <w:color w:val="auto"/>
              </w:rPr>
              <w:t>Projected benefit obligation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439"/>
              <w:spacing w:after="0"/>
              <w:rPr>
                <w:sz w:val="20"/>
                <w:szCs w:val="20"/>
                <w:color w:val="auto"/>
              </w:rPr>
            </w:pPr>
            <w:r>
              <w:rPr>
                <w:rFonts w:ascii="Arial" w:cs="Arial" w:eastAsia="Arial" w:hAnsi="Arial"/>
                <w:sz w:val="16"/>
                <w:szCs w:val="16"/>
                <w:color w:val="auto"/>
                <w:w w:val="95"/>
              </w:rPr>
              <w:t>(42.9)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379"/>
              <w:spacing w:after="0"/>
              <w:rPr>
                <w:sz w:val="20"/>
                <w:szCs w:val="20"/>
                <w:color w:val="auto"/>
              </w:rPr>
            </w:pPr>
            <w:r>
              <w:rPr>
                <w:rFonts w:ascii="Arial" w:cs="Arial" w:eastAsia="Arial" w:hAnsi="Arial"/>
                <w:sz w:val="16"/>
                <w:szCs w:val="16"/>
                <w:color w:val="auto"/>
                <w:w w:val="90"/>
              </w:rPr>
              <w:t>(41.1)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359"/>
              <w:spacing w:after="0"/>
              <w:rPr>
                <w:sz w:val="20"/>
                <w:szCs w:val="20"/>
                <w:color w:val="auto"/>
              </w:rPr>
            </w:pPr>
            <w:r>
              <w:rPr>
                <w:rFonts w:ascii="Arial" w:cs="Arial" w:eastAsia="Arial" w:hAnsi="Arial"/>
                <w:sz w:val="16"/>
                <w:szCs w:val="16"/>
                <w:color w:val="auto"/>
                <w:w w:val="90"/>
              </w:rPr>
              <w:t>(316.0)</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center"/>
              <w:ind w:left="199"/>
              <w:spacing w:after="0"/>
              <w:rPr>
                <w:sz w:val="20"/>
                <w:szCs w:val="20"/>
                <w:color w:val="auto"/>
              </w:rPr>
            </w:pPr>
            <w:r>
              <w:rPr>
                <w:rFonts w:ascii="Arial" w:cs="Arial" w:eastAsia="Arial" w:hAnsi="Arial"/>
                <w:sz w:val="16"/>
                <w:szCs w:val="16"/>
                <w:color w:val="auto"/>
                <w:w w:val="94"/>
              </w:rPr>
              <w:t>(283.1)</w:t>
            </w: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benefit obligation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5"/>
              </w:rPr>
              <w:t>(41.8)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0"/>
              </w:rPr>
              <w:t>(40.2)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0"/>
              </w:rPr>
              <w:t>(303.9)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4"/>
              </w:rPr>
              <w:t>(272.6)</w:t>
            </w:r>
          </w:p>
        </w:tc>
      </w:tr>
      <w:tr>
        <w:trPr>
          <w:trHeight w:val="213"/>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6"/>
                <w:szCs w:val="16"/>
                <w:color w:val="auto"/>
              </w:rPr>
              <w:t>Fair value of plan assets</w:t>
            </w:r>
          </w:p>
        </w:tc>
        <w:tc>
          <w:tcPr>
            <w:tcW w:w="280" w:type="dxa"/>
            <w:vAlign w:val="bottom"/>
          </w:tcPr>
          <w:p>
            <w:pPr>
              <w:spacing w:after="0"/>
              <w:rPr>
                <w:sz w:val="18"/>
                <w:szCs w:val="18"/>
                <w:color w:val="auto"/>
              </w:rPr>
            </w:pPr>
          </w:p>
        </w:tc>
        <w:tc>
          <w:tcPr>
            <w:tcW w:w="960" w:type="dxa"/>
            <w:vAlign w:val="bottom"/>
          </w:tcPr>
          <w:p>
            <w:pPr>
              <w:jc w:val="center"/>
              <w:ind w:left="439"/>
              <w:spacing w:after="0"/>
              <w:rPr>
                <w:sz w:val="20"/>
                <w:szCs w:val="20"/>
                <w:color w:val="auto"/>
              </w:rPr>
            </w:pPr>
            <w:r>
              <w:rPr>
                <w:rFonts w:ascii="Arial" w:cs="Arial" w:eastAsia="Arial" w:hAnsi="Arial"/>
                <w:sz w:val="16"/>
                <w:szCs w:val="16"/>
                <w:color w:val="auto"/>
                <w:w w:val="89"/>
              </w:rPr>
              <w:t>36.0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399"/>
              <w:spacing w:after="0"/>
              <w:rPr>
                <w:sz w:val="20"/>
                <w:szCs w:val="20"/>
                <w:color w:val="auto"/>
              </w:rPr>
            </w:pPr>
            <w:r>
              <w:rPr>
                <w:rFonts w:ascii="Arial" w:cs="Arial" w:eastAsia="Arial" w:hAnsi="Arial"/>
                <w:sz w:val="16"/>
                <w:szCs w:val="16"/>
                <w:color w:val="auto"/>
                <w:w w:val="89"/>
              </w:rPr>
              <w:t>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379"/>
              <w:spacing w:after="0"/>
              <w:rPr>
                <w:sz w:val="20"/>
                <w:szCs w:val="20"/>
                <w:color w:val="auto"/>
              </w:rPr>
            </w:pPr>
            <w:r>
              <w:rPr>
                <w:rFonts w:ascii="Arial" w:cs="Arial" w:eastAsia="Arial" w:hAnsi="Arial"/>
                <w:sz w:val="16"/>
                <w:szCs w:val="16"/>
                <w:color w:val="auto"/>
                <w:w w:val="89"/>
              </w:rPr>
              <w:t>222.4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center"/>
              <w:ind w:left="219"/>
              <w:spacing w:after="0"/>
              <w:rPr>
                <w:sz w:val="20"/>
                <w:szCs w:val="20"/>
                <w:color w:val="auto"/>
              </w:rPr>
            </w:pPr>
            <w:r>
              <w:rPr>
                <w:rFonts w:ascii="Arial" w:cs="Arial" w:eastAsia="Arial" w:hAnsi="Arial"/>
                <w:sz w:val="16"/>
                <w:szCs w:val="16"/>
                <w:color w:val="auto"/>
                <w:w w:val="94"/>
              </w:rPr>
              <w:t>193.9</w:t>
            </w:r>
          </w:p>
        </w:tc>
      </w:tr>
      <w:tr>
        <w:trPr>
          <w:trHeight w:val="165"/>
        </w:trPr>
        <w:tc>
          <w:tcPr>
            <w:tcW w:w="20" w:type="dxa"/>
            <w:vAlign w:val="bottom"/>
            <w:shd w:val="clear" w:color="auto" w:fill="CCEEFF"/>
          </w:tcPr>
          <w:p>
            <w:pPr>
              <w:spacing w:after="0"/>
              <w:rPr>
                <w:sz w:val="14"/>
                <w:szCs w:val="14"/>
                <w:color w:val="auto"/>
              </w:rPr>
            </w:pPr>
          </w:p>
        </w:tc>
        <w:tc>
          <w:tcPr>
            <w:tcW w:w="596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b w:val="1"/>
                <w:bCs w:val="1"/>
                <w:color w:val="auto"/>
                <w:w w:val="95"/>
              </w:rPr>
              <w:t>Information for pension plans with projected benefit obligations in excess of plan</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6"/>
                <w:szCs w:val="16"/>
                <w:color w:val="auto"/>
              </w:rPr>
              <w:t>Projected benefit obligation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439"/>
              <w:spacing w:after="0"/>
              <w:rPr>
                <w:sz w:val="20"/>
                <w:szCs w:val="20"/>
                <w:color w:val="auto"/>
              </w:rPr>
            </w:pPr>
            <w:r>
              <w:rPr>
                <w:rFonts w:ascii="Arial" w:cs="Arial" w:eastAsia="Arial" w:hAnsi="Arial"/>
                <w:sz w:val="16"/>
                <w:szCs w:val="16"/>
                <w:color w:val="auto"/>
                <w:w w:val="95"/>
              </w:rPr>
              <w:t>(42.9)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379"/>
              <w:spacing w:after="0"/>
              <w:rPr>
                <w:sz w:val="20"/>
                <w:szCs w:val="20"/>
                <w:color w:val="auto"/>
              </w:rPr>
            </w:pPr>
            <w:r>
              <w:rPr>
                <w:rFonts w:ascii="Arial" w:cs="Arial" w:eastAsia="Arial" w:hAnsi="Arial"/>
                <w:sz w:val="16"/>
                <w:szCs w:val="16"/>
                <w:color w:val="auto"/>
                <w:w w:val="90"/>
              </w:rPr>
              <w:t>(41.1)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359"/>
              <w:spacing w:after="0"/>
              <w:rPr>
                <w:sz w:val="20"/>
                <w:szCs w:val="20"/>
                <w:color w:val="auto"/>
              </w:rPr>
            </w:pPr>
            <w:r>
              <w:rPr>
                <w:rFonts w:ascii="Arial" w:cs="Arial" w:eastAsia="Arial" w:hAnsi="Arial"/>
                <w:sz w:val="16"/>
                <w:szCs w:val="16"/>
                <w:color w:val="auto"/>
                <w:w w:val="90"/>
              </w:rPr>
              <w:t>(317.4)</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center"/>
              <w:ind w:left="199"/>
              <w:spacing w:after="0"/>
              <w:rPr>
                <w:sz w:val="20"/>
                <w:szCs w:val="20"/>
                <w:color w:val="auto"/>
              </w:rPr>
            </w:pPr>
            <w:r>
              <w:rPr>
                <w:rFonts w:ascii="Arial" w:cs="Arial" w:eastAsia="Arial" w:hAnsi="Arial"/>
                <w:sz w:val="16"/>
                <w:szCs w:val="16"/>
                <w:color w:val="auto"/>
                <w:w w:val="94"/>
              </w:rPr>
              <w:t>(284.4)</w:t>
            </w: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Fair value of plan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89"/>
              </w:rPr>
              <w:t>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89"/>
              </w:rPr>
              <w:t>223.7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4"/>
              </w:rPr>
              <w:t>195.1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Benefit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U.S.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760" w:type="dxa"/>
            <w:vAlign w:val="bottom"/>
          </w:tcPr>
          <w:p>
            <w:pPr>
              <w:jc w:val="right"/>
              <w:ind w:right="23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9"/>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9"/>
              <w:spacing w:after="0" w:line="17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 cost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Amortization of initial net obligation and prior service cost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net loss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Settlement and curtailment losses recognized</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periodic benefit cost</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Changes in Plan Assets and Benefit Obligations Recognized in Other Comprehensive Income during 2020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U.S.</w:t>
            </w:r>
          </w:p>
        </w:tc>
        <w:tc>
          <w:tcPr>
            <w:tcW w:w="22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International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arising during the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Effect of exchange rates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or curtailment recognition of prior service cost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Amortization or settlement recognition of net loss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recognized in other comprehensive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960" w:type="dxa"/>
            <w:vAlign w:val="bottom"/>
            <w:gridSpan w:val="2"/>
          </w:tcPr>
          <w:p>
            <w:pPr>
              <w:ind w:left="200"/>
              <w:spacing w:after="0"/>
              <w:rPr>
                <w:sz w:val="20"/>
                <w:szCs w:val="20"/>
                <w:color w:val="auto"/>
              </w:rPr>
            </w:pPr>
            <w:r>
              <w:rPr>
                <w:rFonts w:ascii="Arial" w:cs="Arial" w:eastAsia="Arial" w:hAnsi="Arial"/>
                <w:sz w:val="16"/>
                <w:szCs w:val="16"/>
                <w:color w:val="auto"/>
              </w:rPr>
              <w:t>Total recognized in net periodic benefit cost and other comprehensive income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486"/>
        <w:spacing w:after="0" w:line="274"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w:t>
      </w: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U.S.</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1040" w:type="dxa"/>
            <w:vAlign w:val="bottom"/>
            <w:tcBorders>
              <w:bottom w:val="single" w:sz="8" w:color="auto"/>
            </w:tcBorders>
          </w:tcPr>
          <w:p>
            <w:pPr>
              <w:spacing w:after="0"/>
              <w:rPr>
                <w:sz w:val="18"/>
                <w:szCs w:val="18"/>
                <w:color w:val="auto"/>
              </w:rPr>
            </w:pPr>
          </w:p>
        </w:tc>
      </w:tr>
      <w:tr>
        <w:trPr>
          <w:trHeight w:val="210"/>
        </w:trPr>
        <w:tc>
          <w:tcPr>
            <w:tcW w:w="43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2.53 %</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060" w:type="dxa"/>
            <w:vAlign w:val="bottom"/>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5.15 %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5.01 %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5.10 %</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r>
    </w:tbl>
    <w:p>
      <w:pPr>
        <w:spacing w:after="0" w:line="94"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pacing w:after="0" w:line="76" w:lineRule="exact"/>
        <w:rPr>
          <w:sz w:val="20"/>
          <w:szCs w:val="20"/>
          <w:color w:val="auto"/>
        </w:rPr>
      </w:pPr>
    </w:p>
    <w:p>
      <w:pPr>
        <w:ind w:right="320" w:firstLine="486"/>
        <w:spacing w:after="0" w:line="274" w:lineRule="auto"/>
        <w:rPr>
          <w:sz w:val="20"/>
          <w:szCs w:val="20"/>
          <w:color w:val="auto"/>
        </w:rPr>
      </w:pPr>
      <w:r>
        <w:rPr>
          <w:rFonts w:ascii="Arial" w:cs="Arial" w:eastAsia="Arial" w:hAnsi="Arial"/>
          <w:sz w:val="18"/>
          <w:szCs w:val="18"/>
          <w:color w:val="auto"/>
        </w:rPr>
        <w:t>As of December 31, 2020, the following table represents the amounts included in other comprehensive loss that are expected to be recognized as components of periodic benefit costs in 2021.</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2"/>
          </w:tcPr>
          <w:p>
            <w:pPr>
              <w:ind w:left="260"/>
              <w:spacing w:after="0" w:line="176" w:lineRule="exact"/>
              <w:rPr>
                <w:sz w:val="20"/>
                <w:szCs w:val="20"/>
                <w:color w:val="auto"/>
              </w:rPr>
            </w:pPr>
            <w:r>
              <w:rPr>
                <w:rFonts w:ascii="Arial" w:cs="Arial" w:eastAsia="Arial" w:hAnsi="Arial"/>
                <w:sz w:val="16"/>
                <w:szCs w:val="16"/>
                <w:b w:val="1"/>
                <w:bCs w:val="1"/>
                <w:color w:val="auto"/>
              </w:rPr>
              <w:t>U.S.</w:t>
            </w:r>
          </w:p>
        </w:tc>
        <w:tc>
          <w:tcPr>
            <w:tcW w:w="200" w:type="dxa"/>
            <w:vAlign w:val="bottom"/>
          </w:tcPr>
          <w:p>
            <w:pPr>
              <w:spacing w:after="0"/>
              <w:rPr>
                <w:sz w:val="15"/>
                <w:szCs w:val="15"/>
                <w:color w:val="auto"/>
              </w:rPr>
            </w:pPr>
          </w:p>
        </w:tc>
        <w:tc>
          <w:tcPr>
            <w:tcW w:w="1360" w:type="dxa"/>
            <w:vAlign w:val="bottom"/>
          </w:tcPr>
          <w:p>
            <w:pPr>
              <w:jc w:val="right"/>
              <w:ind w:right="239"/>
              <w:spacing w:after="0" w:line="176" w:lineRule="exact"/>
              <w:rPr>
                <w:sz w:val="20"/>
                <w:szCs w:val="20"/>
                <w:color w:val="auto"/>
              </w:rPr>
            </w:pPr>
            <w:r>
              <w:rPr>
                <w:rFonts w:ascii="Arial" w:cs="Arial" w:eastAsia="Arial" w:hAnsi="Arial"/>
                <w:sz w:val="16"/>
                <w:szCs w:val="16"/>
                <w:b w:val="1"/>
                <w:bCs w:val="1"/>
                <w:color w:val="auto"/>
              </w:rPr>
              <w:t>International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Prior service cost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actuarial loss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836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Pension Plan Assets</w:t>
      </w:r>
    </w:p>
    <w:p>
      <w:pPr>
        <w:spacing w:after="0" w:line="11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and temporary cash and cash equivalent investments. The assets held in these funds are generally actively managed and are valued at the net asset value per share multiplied by the number of shares held as of the measurement date. (See Note 18 “Fair Value Measurement” included herein). Plan assets by asset category at December 31, 2020 and 2019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96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Pension Plan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6"/>
                <w:szCs w:val="16"/>
                <w:color w:val="auto"/>
              </w:rPr>
              <w:t>Equity security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security funds and 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r>
      <w:tr>
        <w:trPr>
          <w:trHeight w:val="213"/>
        </w:trPr>
        <w:tc>
          <w:tcPr>
            <w:tcW w:w="2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Fair value of plan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U.S. plan has a target asset allocation of 55% equity securities and 45% debt securities. The International plan has a target asset allocation of 10% equity securities, 22% debt securities and 68% in other investments. Investment policies are determined by the respective Plan’s Pension Committee and set forth in its Investment Policy. Rebalancing of the asset allocation occurs on a quarterly basis.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summarize our pension plan assets measured at fair value on a recurring basis by fair value hierarchy level (See Note 18):</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December 31, 2020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NAV</w:t>
            </w:r>
          </w:p>
        </w:tc>
        <w:tc>
          <w:tcPr>
            <w:tcW w:w="220" w:type="dxa"/>
            <w:vAlign w:val="bottom"/>
          </w:tcPr>
          <w:p>
            <w:pPr>
              <w:spacing w:after="0"/>
              <w:rPr>
                <w:sz w:val="14"/>
                <w:szCs w:val="14"/>
                <w:color w:val="auto"/>
              </w:rPr>
            </w:pPr>
          </w:p>
        </w:tc>
        <w:tc>
          <w:tcPr>
            <w:tcW w:w="980" w:type="dxa"/>
            <w:vAlign w:val="bottom"/>
          </w:tcPr>
          <w:p>
            <w:pPr>
              <w:jc w:val="right"/>
              <w:ind w:right="279"/>
              <w:spacing w:after="0" w:line="172" w:lineRule="exact"/>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92"/>
              </w:rPr>
              <w:t>Level 2</w:t>
            </w:r>
          </w:p>
        </w:tc>
        <w:tc>
          <w:tcPr>
            <w:tcW w:w="220" w:type="dxa"/>
            <w:vAlign w:val="bottom"/>
          </w:tcPr>
          <w:p>
            <w:pPr>
              <w:spacing w:after="0"/>
              <w:rPr>
                <w:sz w:val="14"/>
                <w:szCs w:val="14"/>
                <w:color w:val="auto"/>
              </w:rPr>
            </w:pPr>
          </w:p>
        </w:tc>
        <w:tc>
          <w:tcPr>
            <w:tcW w:w="108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4"/>
                <w:szCs w:val="14"/>
                <w:color w:val="auto"/>
              </w:rPr>
            </w:pPr>
          </w:p>
        </w:tc>
        <w:tc>
          <w:tcPr>
            <w:tcW w:w="940" w:type="dxa"/>
            <w:vAlign w:val="bottom"/>
          </w:tcPr>
          <w:p>
            <w:pPr>
              <w:jc w:val="right"/>
              <w:ind w:right="339"/>
              <w:spacing w:after="0" w:line="172"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 and other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International: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 and other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Insurance Contracts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340.7</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December 31, 2019</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NAV</w:t>
            </w:r>
          </w:p>
        </w:tc>
        <w:tc>
          <w:tcPr>
            <w:tcW w:w="220" w:type="dxa"/>
            <w:vAlign w:val="bottom"/>
          </w:tcPr>
          <w:p>
            <w:pPr>
              <w:spacing w:after="0"/>
              <w:rPr>
                <w:sz w:val="14"/>
                <w:szCs w:val="14"/>
                <w:color w:val="auto"/>
              </w:rPr>
            </w:pPr>
          </w:p>
        </w:tc>
        <w:tc>
          <w:tcPr>
            <w:tcW w:w="980" w:type="dxa"/>
            <w:vAlign w:val="bottom"/>
          </w:tcPr>
          <w:p>
            <w:pPr>
              <w:jc w:val="right"/>
              <w:ind w:right="279"/>
              <w:spacing w:after="0" w:line="172" w:lineRule="exact"/>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92"/>
              </w:rPr>
              <w:t>Level 2</w:t>
            </w:r>
          </w:p>
        </w:tc>
        <w:tc>
          <w:tcPr>
            <w:tcW w:w="220" w:type="dxa"/>
            <w:vAlign w:val="bottom"/>
          </w:tcPr>
          <w:p>
            <w:pPr>
              <w:spacing w:after="0"/>
              <w:rPr>
                <w:sz w:val="14"/>
                <w:szCs w:val="14"/>
                <w:color w:val="auto"/>
              </w:rPr>
            </w:pPr>
          </w:p>
        </w:tc>
        <w:tc>
          <w:tcPr>
            <w:tcW w:w="108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4"/>
                <w:szCs w:val="14"/>
                <w:color w:val="auto"/>
              </w:rPr>
            </w:pPr>
          </w:p>
        </w:tc>
        <w:tc>
          <w:tcPr>
            <w:tcW w:w="940" w:type="dxa"/>
            <w:vAlign w:val="bottom"/>
          </w:tcPr>
          <w:p>
            <w:pPr>
              <w:jc w:val="right"/>
              <w:ind w:right="339"/>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International: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r>
      <w:tr>
        <w:trPr>
          <w:trHeight w:val="213"/>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6"/>
                <w:szCs w:val="16"/>
                <w:color w:val="auto"/>
              </w:rPr>
              <w:t>Insurance Contracts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2"/>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304.1</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70" w:name="page71"/>
    <w:bookmarkEnd w:id="70"/>
    <w:p>
      <w:pPr>
        <w:ind w:left="500"/>
        <w:spacing w:after="0"/>
        <w:rPr>
          <w:sz w:val="20"/>
          <w:szCs w:val="20"/>
          <w:color w:val="auto"/>
        </w:rPr>
      </w:pPr>
      <w:r>
        <w:rPr>
          <w:rFonts w:ascii="Arial" w:cs="Arial" w:eastAsia="Arial" w:hAnsi="Arial"/>
          <w:sz w:val="18"/>
          <w:szCs w:val="18"/>
          <w:color w:val="auto"/>
        </w:rPr>
        <w:t>The following table presents a reconciliation of Level 3 assets: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9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6"/>
                <w:szCs w:val="16"/>
                <w:color w:val="auto"/>
              </w:rPr>
              <w:t>Net purchases, issuances, and settlements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Actual return of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6"/>
                <w:szCs w:val="16"/>
                <w:color w:val="auto"/>
              </w:rPr>
              <w:t>Transfers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currency rate changes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b w:val="1"/>
                <w:bCs w:val="1"/>
                <w:color w:val="auto"/>
              </w:rPr>
              <w:t>Balance at December 31, 2019</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purchases, issuances, and settlements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6"/>
                <w:szCs w:val="16"/>
                <w:color w:val="auto"/>
              </w:rPr>
              <w:t>Actual return of plan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Transfers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Effect of currency rate changes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The Company’s funding methods are based on governmental requirements and differ from those methods used to recognize pension expense. The Company expects to contribute $7.3 million to the international plan and does not expect to make a contribution to the U.S. plan during 2021.</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expected to be paid to plan participants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U.S.</w:t>
            </w:r>
          </w:p>
        </w:tc>
        <w:tc>
          <w:tcPr>
            <w:tcW w:w="20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2021</w:t>
            </w:r>
          </w:p>
        </w:tc>
        <w:tc>
          <w:tcPr>
            <w:tcW w:w="74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7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2023</w:t>
            </w: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 through 2030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21" w:lineRule="exact"/>
        <w:rPr>
          <w:sz w:val="20"/>
          <w:szCs w:val="20"/>
          <w:color w:val="auto"/>
        </w:rPr>
      </w:pPr>
    </w:p>
    <w:p>
      <w:pPr>
        <w:ind w:right="540" w:firstLine="486"/>
        <w:spacing w:after="0" w:line="274" w:lineRule="auto"/>
        <w:rPr>
          <w:sz w:val="20"/>
          <w:szCs w:val="20"/>
          <w:color w:val="auto"/>
        </w:rPr>
      </w:pPr>
      <w:r>
        <w:rPr>
          <w:rFonts w:ascii="Arial" w:cs="Arial" w:eastAsia="Arial" w:hAnsi="Arial"/>
          <w:sz w:val="18"/>
          <w:szCs w:val="18"/>
          <w:color w:val="auto"/>
        </w:rPr>
        <w:t>The Company also participates in certain defined contribution plans and multiemployer pension plans. Costs recognized under these plans are summarized as follows:</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line="163" w:lineRule="exact"/>
              <w:rPr>
                <w:sz w:val="20"/>
                <w:szCs w:val="20"/>
                <w:color w:val="auto"/>
              </w:rPr>
            </w:pPr>
            <w:r>
              <w:rPr>
                <w:rFonts w:ascii="Arial" w:cs="Arial" w:eastAsia="Arial" w:hAnsi="Arial"/>
                <w:sz w:val="16"/>
                <w:szCs w:val="16"/>
                <w:b w:val="1"/>
                <w:bCs w:val="1"/>
                <w:color w:val="auto"/>
                <w:w w:val="92"/>
              </w:rPr>
              <w:t>For the year ended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9"/>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Multi-employer pension and health &amp; welfare plans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401(k) savings and other defined contribution plans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The 401(k) savings plan is a participant directed defined contribution plan that holds shares of the Company’s stock as one of the investment options. At December 31, 2020 and 2019, the plan held on behalf of its participants about 409,104 shares with a market value of $29.9 million, and 431,744 shares with a market value of $33.6 million, respectively. Additionally, the Company has stock option based benefit and other plans further described in Note 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1" w:name="page72"/>
    <w:bookmarkEnd w:id="71"/>
    <w:p>
      <w:pPr>
        <w:ind w:right="580" w:firstLine="486"/>
        <w:spacing w:after="0" w:line="274" w:lineRule="auto"/>
        <w:rPr>
          <w:sz w:val="20"/>
          <w:szCs w:val="20"/>
          <w:color w:val="auto"/>
        </w:rPr>
      </w:pPr>
      <w:r>
        <w:rPr>
          <w:rFonts w:ascii="Arial" w:cs="Arial" w:eastAsia="Arial" w:hAnsi="Arial"/>
          <w:sz w:val="18"/>
          <w:szCs w:val="18"/>
          <w:color w:val="auto"/>
        </w:rPr>
        <w:t>The components of the income before income taxes for the Company’s domestic and foreign operations for the years ended December 31 are provided below:</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line="163" w:lineRule="exact"/>
              <w:rPr>
                <w:sz w:val="20"/>
                <w:szCs w:val="20"/>
                <w:color w:val="auto"/>
              </w:rPr>
            </w:pPr>
            <w:r>
              <w:rPr>
                <w:rFonts w:ascii="Arial" w:cs="Arial" w:eastAsia="Arial" w:hAnsi="Arial"/>
                <w:sz w:val="16"/>
                <w:szCs w:val="16"/>
                <w:b w:val="1"/>
                <w:bCs w:val="1"/>
                <w:color w:val="auto"/>
                <w:w w:val="92"/>
              </w:rPr>
              <w:t>For the year ended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9"/>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consolidated provision for income taxes included in the Consolidated Statement of Income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 the year ended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9"/>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13"/>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r>
      <w:tr>
        <w:trPr>
          <w:trHeight w:val="207"/>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Deferred taxes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9"/>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provision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4" w:lineRule="auto"/>
        <w:rPr>
          <w:sz w:val="20"/>
          <w:szCs w:val="20"/>
          <w:color w:val="auto"/>
        </w:rPr>
      </w:pPr>
      <w:r>
        <w:rPr>
          <w:rFonts w:ascii="Arial" w:cs="Arial" w:eastAsia="Arial" w:hAnsi="Arial"/>
          <w:sz w:val="18"/>
          <w:szCs w:val="18"/>
          <w:color w:val="auto"/>
        </w:rPr>
        <w:t>A reconciliation of the United States federal statutory income tax rate to the effective income tax rate on operations for the years ended December 31 is provided below:</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line="163" w:lineRule="exact"/>
              <w:rPr>
                <w:sz w:val="20"/>
                <w:szCs w:val="20"/>
                <w:color w:val="auto"/>
              </w:rPr>
            </w:pPr>
            <w:r>
              <w:rPr>
                <w:rFonts w:ascii="Arial" w:cs="Arial" w:eastAsia="Arial" w:hAnsi="Arial"/>
                <w:sz w:val="16"/>
                <w:szCs w:val="16"/>
                <w:b w:val="1"/>
                <w:bCs w:val="1"/>
                <w:color w:val="auto"/>
                <w:w w:val="92"/>
              </w:rPr>
              <w:t>For the year ended</w:t>
            </w:r>
          </w:p>
        </w:tc>
        <w:tc>
          <w:tcPr>
            <w:tcW w:w="160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tcPr>
          <w:p>
            <w:pPr>
              <w:jc w:val="right"/>
              <w:ind w:right="55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6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1600" w:type="dxa"/>
            <w:vAlign w:val="bottom"/>
          </w:tcPr>
          <w:p>
            <w:pPr>
              <w:jc w:val="right"/>
              <w:ind w:right="559"/>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federal statutory rate</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State taxes</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Research and development credit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tax rate change</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U.S. tax reform provision (benefit)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related to acquisitions</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Other, net</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0.4</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Effective rate</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The decrease in the effective tax rate in 2020 is primarily the result of non-deductible transaction related expenses incurred during 2019 as a result of the GE Transportation acquisition that did not recur in 2020, a decrease in the estimated liabilities resulting from provisions of the Tax Cuts and Jobs Act that were recognized in 2019 and a decrease in foreign tax expense primarily due to favorable changes in the mix of foreign earnings, partially offset by an increase in state income tax expense recognized in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2" w:name="page73"/>
    <w:bookmarkEnd w:id="72"/>
    <w:p>
      <w:pPr>
        <w:ind w:left="500"/>
        <w:spacing w:after="0"/>
        <w:rPr>
          <w:sz w:val="20"/>
          <w:szCs w:val="20"/>
          <w:color w:val="auto"/>
        </w:rPr>
      </w:pPr>
      <w:r>
        <w:rPr>
          <w:rFonts w:ascii="Arial" w:cs="Arial" w:eastAsia="Arial" w:hAnsi="Arial"/>
          <w:sz w:val="18"/>
          <w:szCs w:val="18"/>
          <w:color w:val="auto"/>
        </w:rPr>
        <w:t>Components of deferred tax assets and liabilities were as follows:</w:t>
      </w:r>
    </w:p>
    <w:p>
      <w:pPr>
        <w:spacing w:after="0" w:line="50"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6"/>
                <w:szCs w:val="16"/>
                <w:color w:val="auto"/>
              </w:rPr>
              <w:t>Accrued expenses and reserves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Warranty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6"/>
                <w:szCs w:val="16"/>
                <w:color w:val="auto"/>
              </w:rPr>
              <w:t>Deferred compensation/employee benefits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Right-of-use asset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6"/>
                <w:szCs w:val="16"/>
                <w:color w:val="auto"/>
              </w:rPr>
              <w:t>Pension and postretirement obligations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Property, plant &amp;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operating loss carry forwards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deferred income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deferred income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6"/>
                <w:szCs w:val="16"/>
                <w:color w:val="auto"/>
              </w:rPr>
              <w:t>Deferred income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Property, plant &amp; equipment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6"/>
                <w:szCs w:val="16"/>
                <w:color w:val="auto"/>
              </w:rPr>
              <w:t>Right-of-use liability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0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deferred income tax liabilities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deferred income tax liability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 valuation allowance is provided when it is more likely than not that some portion or all of the deferred tax assets will not be realized. As of December 31, 2020, the valuation allowance for certain foreign deferred tax asset carryforwards was $41.7 million primarily in Brazil, China, Denmark, France, the Netherlands and South Africa.</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operating loss carry-forwards in the amount of $312.6 million expire in various periods from December 31, 2021 to December 31, 2040.</w:t>
      </w:r>
    </w:p>
    <w:p>
      <w:pPr>
        <w:spacing w:after="0" w:line="12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7"/>
          <w:szCs w:val="17"/>
          <w:color w:val="auto"/>
        </w:rPr>
        <w:t>As of December 31, 2020, the liability for income taxes associated with unrecognized tax benefits was $16.4 million, of which $14.8 million, if recognized, would favorably affect the Company’s effective income tax rate. As of December 31, 2019, the liability for income taxes associated with unrecognized tax benefits was $17.2 million, all of which, if recognized, would favorably affect the Company’s effective tax rate. A reconciliation of the beginning and ending amount of the liability for income taxes associated with unrecognized tax benefits follows:</w:t>
      </w: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19"/>
              <w:spacing w:after="0" w:line="178"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19"/>
              <w:spacing w:after="0" w:line="178"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19"/>
              <w:spacing w:after="0" w:line="178"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liability for unrecognized tax benefits at beginning of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Gross increases - unrecognized tax benefits in prior periods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decreases - audit settlement during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Gross decreases - expiration of audit statute of limitations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liability for unrecognized tax benefits at end of year</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Company includes interest and penalties related to unrecognized tax benefits in income tax expense. As of December 31, 2020, the total interest and penalties accrued was approximately $4.5 million. As of December 31, 2019, the total interest and penalties accrued was approximately $4.0 million.</w:t>
      </w:r>
    </w:p>
    <w:p>
      <w:pPr>
        <w:spacing w:after="0" w:line="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limited exception, the Company is no longer subject to examination by various U.S. and foreign taxing authorities for years before 2015. At this time, the Company believes that it is reasonably possible that unrecognized tax benefits of approximately $6.2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earnings per share from operations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For the Year Ended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4"/>
                <w:szCs w:val="14"/>
                <w:color w:val="auto"/>
              </w:rPr>
            </w:pPr>
          </w:p>
        </w:tc>
        <w:tc>
          <w:tcPr>
            <w:tcW w:w="114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60" w:type="dxa"/>
            <w:vAlign w:val="bottom"/>
            <w:gridSpan w:val="2"/>
          </w:tcPr>
          <w:p>
            <w:pPr>
              <w:spacing w:after="0" w:line="166" w:lineRule="exact"/>
              <w:rPr>
                <w:sz w:val="20"/>
                <w:szCs w:val="20"/>
                <w:color w:val="auto"/>
              </w:rPr>
            </w:pPr>
            <w:r>
              <w:rPr>
                <w:rFonts w:ascii="Arial" w:cs="Arial" w:eastAsia="Arial" w:hAnsi="Arial"/>
                <w:sz w:val="16"/>
                <w:szCs w:val="16"/>
                <w:color w:val="auto"/>
                <w:w w:val="95"/>
              </w:rPr>
              <w:t>Numerator for basic and diluted earnings per common share - net income attributable to</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19"/>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Wabtec shareholders</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dividends declared - common shares and non-vested restricted stock</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Undistributed earnings</w:t>
            </w:r>
          </w:p>
        </w:tc>
        <w:tc>
          <w:tcPr>
            <w:tcW w:w="3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246.4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Percentage allocated to common shareholders (1)</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 dividends declared - common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Less: dividends declared - preferred shares</w:t>
            </w:r>
          </w:p>
        </w:tc>
        <w:tc>
          <w:tcPr>
            <w:tcW w:w="3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Numerator for basic earnings per common share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Add: dividends declared - preferred shares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Numerator for diluted earnings per common share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Denominator for basic earnings per common share - weighted average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Effect of dilutive securities: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Assumed conversion of preferred shares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Assumed conversion of dilutive stock-based compensation plans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6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w w:val="94"/>
              </w:rPr>
              <w:t>Denominator for diluted earnings per common share - adjusted weighted average shares</w:t>
            </w: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190.4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177.3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and assumed conversion</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Net income per common share attributable to Wabtec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3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(1) Basic weighted-average common shares outstanding</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9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w w:val="98"/>
              </w:rPr>
              <w:t>Basic weighted-average common shares outstanding and non-vested restricted stock</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190.4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to vest</w:t>
            </w: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Percentage allocated to common shareholders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99.7 %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Options to purchase approximately 403,000, 312,000, and 135,000 shares of Common Stock were outstanding in 2020, 2019 and 2018, respectively, but were not included in the computation of diluted earnings because their exercise price exceeded the average market price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PLANS</w:t>
      </w:r>
    </w:p>
    <w:p>
      <w:pPr>
        <w:spacing w:after="0" w:line="1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of December 31, 2020,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2020 the number of shares available for future grants under the 2011 Plan was 1,870,396 shares, which includes remaining shares to grant under the 2000 Plan. The Company also maintains a 1995 Non-Employee Directors’ Fee and Stock Option Plan as amended and restated (“the Directors Plan”). The Directors Plan, as amended, authorizes a total of 1,000,000 shares of Common Stock to be issued. Under the Directors Plan options issued become exercisable over a three-year vesting period and expire ten years from the date of grant and restricted stock issued under the plan vests one year from the date of grant. As compensation for directors’ fees for the years ended December 31, 2020, 2019 and 2018, the Company issued a total of 23,152, 15,729 and 12,960 shares, respectively, of restricted stock to non-employee directors. The total number of shares issued under the Directors Plan as of December 31, 2020 was 933,033 shares.</w:t>
      </w:r>
    </w:p>
    <w:p>
      <w:pPr>
        <w:spacing w:after="0" w:line="5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Stock-based compensation expense for all of the plans was $19.5 million, $50.0 million and $25.3 million for the years ended December 31, 2020, 2019 and 2018, respectively. The Company recognized associated tax benefits related to the stock-based compensation plans of $1.8 million, $1.4 million and $6.3 million for the respective periods. Included in the stock-based compensation expense for 2020 above is $2.4 million of expense related to stock options, $17.2 million related to non-vested</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4" w:name="page75"/>
    <w:bookmarkEnd w:id="74"/>
    <w:p>
      <w:pPr>
        <w:ind w:right="100"/>
        <w:spacing w:after="0" w:line="286" w:lineRule="auto"/>
        <w:rPr>
          <w:sz w:val="20"/>
          <w:szCs w:val="20"/>
          <w:color w:val="auto"/>
        </w:rPr>
      </w:pPr>
      <w:r>
        <w:rPr>
          <w:rFonts w:ascii="Arial" w:cs="Arial" w:eastAsia="Arial" w:hAnsi="Arial"/>
          <w:sz w:val="17"/>
          <w:szCs w:val="17"/>
          <w:color w:val="auto"/>
        </w:rPr>
        <w:t>restricted stock, $4.7 million related to restricted stock units, $1.2 million related to units issued for Directors’ fees and $6.0 million of expense reversal related to incentive stock units. At December 31, 2020, unamortized compensation expense related to those stock options, non-vested restricted shares and incentive stock units expected to vest totaled $31.9 million and will be recognized over a weighted period of 1.4 years.</w:t>
      </w:r>
    </w:p>
    <w:p>
      <w:pPr>
        <w:spacing w:after="0" w:line="53" w:lineRule="exact"/>
        <w:rPr>
          <w:sz w:val="20"/>
          <w:szCs w:val="20"/>
          <w:color w:val="auto"/>
        </w:rPr>
      </w:pPr>
    </w:p>
    <w:p>
      <w:pPr>
        <w:ind w:right="100" w:firstLine="486"/>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w:t>
      </w:r>
      <w:r>
        <w:rPr>
          <w:rFonts w:ascii="Arial" w:cs="Arial" w:eastAsia="Arial" w:hAnsi="Arial"/>
          <w:sz w:val="18"/>
          <w:szCs w:val="18"/>
          <w:b w:val="1"/>
          <w:bCs w:val="1"/>
          <w:color w:val="auto"/>
        </w:rPr>
        <w:t xml:space="preserve"> </w:t>
      </w:r>
      <w:r>
        <w:rPr>
          <w:rFonts w:ascii="Arial" w:cs="Arial" w:eastAsia="Arial" w:hAnsi="Arial"/>
          <w:sz w:val="18"/>
          <w:szCs w:val="18"/>
          <w:color w:val="auto"/>
        </w:rPr>
        <w:t>Wabtec stock price on the date of grant. Under the 2011 Plan and the 2000 Plan, options become exercisable over a three year vesting period and expire 10 years from the date of grant.</w:t>
      </w:r>
    </w:p>
    <w:p>
      <w:pPr>
        <w:spacing w:after="0" w:line="72" w:lineRule="exact"/>
        <w:rPr>
          <w:sz w:val="20"/>
          <w:szCs w:val="20"/>
          <w:color w:val="auto"/>
        </w:rPr>
      </w:pPr>
    </w:p>
    <w:p>
      <w:pPr>
        <w:ind w:right="40" w:firstLine="486"/>
        <w:spacing w:after="0" w:line="274"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Directors Plan for the years ended December 31:</w:t>
      </w:r>
    </w:p>
    <w:tbl>
      <w:tblPr>
        <w:tblLayout w:type="fixed"/>
        <w:tblInd w:w="0" w:type="dxa"/>
        <w:tblCellMar>
          <w:top w:w="0" w:type="dxa"/>
          <w:left w:w="0" w:type="dxa"/>
          <w:bottom w:w="0" w:type="dxa"/>
          <w:right w:w="0" w:type="dxa"/>
        </w:tblCellMar>
      </w:tblPr>
      <w:tr>
        <w:trPr>
          <w:trHeight w:val="163"/>
        </w:trPr>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line="163" w:lineRule="exact"/>
              <w:rPr>
                <w:sz w:val="20"/>
                <w:szCs w:val="20"/>
                <w:color w:val="auto"/>
              </w:rPr>
            </w:pPr>
            <w:r>
              <w:rPr>
                <w:rFonts w:ascii="Arial" w:cs="Arial" w:eastAsia="Arial" w:hAnsi="Arial"/>
                <w:sz w:val="16"/>
                <w:szCs w:val="16"/>
                <w:b w:val="1"/>
                <w:bCs w:val="1"/>
                <w:color w:val="auto"/>
                <w:w w:val="91"/>
              </w:rPr>
              <w:t>Weighted</w:t>
            </w: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4"/>
                <w:szCs w:val="14"/>
                <w:color w:val="auto"/>
              </w:rPr>
            </w:pPr>
          </w:p>
        </w:tc>
        <w:tc>
          <w:tcPr>
            <w:tcW w:w="12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8"/>
              </w:rPr>
              <w:t>Average</w:t>
            </w:r>
          </w:p>
        </w:tc>
        <w:tc>
          <w:tcPr>
            <w:tcW w:w="1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3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Exercise</w:t>
            </w: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2017</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82,580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77.54</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466,677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134,450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70.44</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588,024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136,506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77.75</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73.73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552,669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December 31, 2020</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line="20" w:lineRule="exact"/>
              <w:rPr>
                <w:sz w:val="1"/>
                <w:szCs w:val="1"/>
                <w:color w:val="auto"/>
              </w:rPr>
            </w:pPr>
          </w:p>
        </w:tc>
      </w:tr>
      <w:tr>
        <w:trPr>
          <w:trHeight w:val="184"/>
        </w:trPr>
        <w:tc>
          <w:tcPr>
            <w:tcW w:w="5200" w:type="dxa"/>
            <w:vAlign w:val="bottom"/>
            <w:vMerge w:val="continue"/>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336,114</w:t>
            </w:r>
          </w:p>
        </w:tc>
        <w:tc>
          <w:tcPr>
            <w:tcW w:w="3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Options outstanding at December 31, 2020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Weighted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440" w:type="dxa"/>
            <w:vAlign w:val="bottom"/>
            <w:gridSpan w:val="2"/>
            <w:vMerge w:val="continue"/>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Exercise</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Price of</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Exercise Price of</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Options</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Currently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Options Currently</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28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Range of exercise prices</w:t>
            </w:r>
          </w:p>
        </w:tc>
        <w:tc>
          <w:tcPr>
            <w:tcW w:w="13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w w:val="93"/>
              </w:rPr>
              <w:t>Outstanding</w:t>
            </w:r>
          </w:p>
        </w:tc>
        <w:tc>
          <w:tcPr>
            <w:tcW w:w="144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8"/>
              </w:rPr>
              <w:t>Life</w:t>
            </w:r>
          </w:p>
        </w:tc>
        <w:tc>
          <w:tcPr>
            <w:tcW w:w="13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w w:val="89"/>
              </w:rPr>
              <w:t>Exercisable</w:t>
            </w:r>
          </w:p>
        </w:tc>
        <w:tc>
          <w:tcPr>
            <w:tcW w:w="0" w:type="dxa"/>
            <w:vAlign w:val="bottom"/>
          </w:tcPr>
          <w:p>
            <w:pPr>
              <w:spacing w:after="0"/>
              <w:rPr>
                <w:sz w:val="1"/>
                <w:szCs w:val="1"/>
                <w:color w:val="auto"/>
              </w:rPr>
            </w:pP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Under $35.00</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13"/>
        </w:trPr>
        <w:tc>
          <w:tcPr>
            <w:tcW w:w="1060" w:type="dxa"/>
            <w:vAlign w:val="bottom"/>
          </w:tcPr>
          <w:p>
            <w:pPr>
              <w:ind w:left="20"/>
              <w:spacing w:after="0"/>
              <w:rPr>
                <w:sz w:val="20"/>
                <w:szCs w:val="20"/>
                <w:color w:val="auto"/>
              </w:rPr>
            </w:pPr>
            <w:r>
              <w:rPr>
                <w:rFonts w:ascii="Arial" w:cs="Arial" w:eastAsia="Arial" w:hAnsi="Arial"/>
                <w:sz w:val="16"/>
                <w:szCs w:val="16"/>
                <w:color w:val="auto"/>
              </w:rPr>
              <w:t>35.00 - 50.00</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41.24</w:t>
            </w:r>
          </w:p>
        </w:tc>
        <w:tc>
          <w:tcPr>
            <w:tcW w:w="0" w:type="dxa"/>
            <w:vAlign w:val="bottom"/>
          </w:tcPr>
          <w:p>
            <w:pPr>
              <w:spacing w:after="0"/>
              <w:rPr>
                <w:sz w:val="1"/>
                <w:szCs w:val="1"/>
                <w:color w:val="auto"/>
              </w:rPr>
            </w:pPr>
          </w:p>
        </w:tc>
      </w:tr>
      <w:tr>
        <w:trPr>
          <w:trHeight w:val="219"/>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50.00 - 65.00</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61.33</w:t>
            </w:r>
          </w:p>
        </w:tc>
        <w:tc>
          <w:tcPr>
            <w:tcW w:w="0" w:type="dxa"/>
            <w:vAlign w:val="bottom"/>
          </w:tcPr>
          <w:p>
            <w:pPr>
              <w:spacing w:after="0"/>
              <w:rPr>
                <w:sz w:val="1"/>
                <w:szCs w:val="1"/>
                <w:color w:val="auto"/>
              </w:rPr>
            </w:pPr>
          </w:p>
        </w:tc>
      </w:tr>
      <w:tr>
        <w:trPr>
          <w:trHeight w:val="213"/>
        </w:trPr>
        <w:tc>
          <w:tcPr>
            <w:tcW w:w="1060" w:type="dxa"/>
            <w:vAlign w:val="bottom"/>
          </w:tcPr>
          <w:p>
            <w:pPr>
              <w:ind w:left="20"/>
              <w:spacing w:after="0"/>
              <w:rPr>
                <w:sz w:val="20"/>
                <w:szCs w:val="20"/>
                <w:color w:val="auto"/>
              </w:rPr>
            </w:pPr>
            <w:r>
              <w:rPr>
                <w:rFonts w:ascii="Arial" w:cs="Arial" w:eastAsia="Arial" w:hAnsi="Arial"/>
                <w:sz w:val="16"/>
                <w:szCs w:val="16"/>
                <w:color w:val="auto"/>
              </w:rPr>
              <w:t>65.00 - 80.00</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74.16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Over 80.00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552,669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69.82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336,114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58.52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80" w:firstLine="513"/>
        <w:spacing w:after="0" w:line="274"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jc w:val="center"/>
        <w:ind w:left="6220"/>
        <w:spacing w:after="0" w:line="235" w:lineRule="auto"/>
        <w:rPr>
          <w:sz w:val="20"/>
          <w:szCs w:val="20"/>
          <w:color w:val="auto"/>
        </w:rPr>
      </w:pPr>
      <w:r>
        <w:rPr>
          <w:rFonts w:ascii="Arial" w:cs="Arial" w:eastAsia="Arial" w:hAnsi="Arial"/>
          <w:sz w:val="16"/>
          <w:szCs w:val="16"/>
          <w:b w:val="1"/>
          <w:bCs w:val="1"/>
          <w:color w:val="auto"/>
        </w:rPr>
        <w:t>For the year ended</w:t>
      </w:r>
    </w:p>
    <w:p>
      <w:pPr>
        <w:jc w:val="center"/>
        <w:ind w:left="622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0.31 %</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price volatility</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 during the year</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4"/>
              </w:rPr>
              <w:t>21.05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20.59</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ind w:right="300" w:firstLine="486"/>
        <w:spacing w:after="0" w:line="286" w:lineRule="auto"/>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7 years U.S. Treasury bond rates for the expected life of the option.</w:t>
      </w:r>
    </w:p>
    <w:p>
      <w:pPr>
        <w:spacing w:after="0" w:line="53" w:lineRule="exact"/>
        <w:rPr>
          <w:sz w:val="20"/>
          <w:szCs w:val="20"/>
          <w:color w:val="auto"/>
        </w:rPr>
      </w:pPr>
    </w:p>
    <w:p>
      <w:pPr>
        <w:ind w:right="80" w:firstLine="486"/>
        <w:spacing w:after="0" w:line="266" w:lineRule="auto"/>
        <w:rPr>
          <w:sz w:val="20"/>
          <w:szCs w:val="20"/>
          <w:color w:val="auto"/>
        </w:rPr>
      </w:pPr>
      <w:r>
        <w:rPr>
          <w:rFonts w:ascii="Arial" w:cs="Arial" w:eastAsia="Arial" w:hAnsi="Arial"/>
          <w:sz w:val="18"/>
          <w:szCs w:val="18"/>
          <w:b w:val="1"/>
          <w:bCs w:val="1"/>
          <w:color w:val="auto"/>
        </w:rPr>
        <w:t xml:space="preserve">Restricted Stock and Incentive Stock </w:t>
      </w:r>
      <w:r>
        <w:rPr>
          <w:rFonts w:ascii="Arial" w:cs="Arial" w:eastAsia="Arial" w:hAnsi="Arial"/>
          <w:sz w:val="18"/>
          <w:szCs w:val="18"/>
          <w:color w:val="auto"/>
        </w:rPr>
        <w:t>Beginning in 2006 the Company adopted a restricted stock program. As provided for under the 2011 and</w:t>
      </w:r>
      <w:r>
        <w:rPr>
          <w:rFonts w:ascii="Arial" w:cs="Arial" w:eastAsia="Arial" w:hAnsi="Arial"/>
          <w:sz w:val="18"/>
          <w:szCs w:val="18"/>
          <w:b w:val="1"/>
          <w:bCs w:val="1"/>
          <w:color w:val="auto"/>
        </w:rPr>
        <w:t xml:space="preserve"> </w:t>
      </w:r>
      <w:r>
        <w:rPr>
          <w:rFonts w:ascii="Arial" w:cs="Arial" w:eastAsia="Arial" w:hAnsi="Arial"/>
          <w:sz w:val="18"/>
          <w:szCs w:val="18"/>
          <w:color w:val="auto"/>
        </w:rPr>
        <w:t>2000 Plans, eligible employees are granted restricted stock that generally vests over three years from the date of grant. Under the Directors Plan, restricted stock units vest one year from the date of grant.</w:t>
      </w:r>
    </w:p>
    <w:p>
      <w:pPr>
        <w:spacing w:after="0" w:line="7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addition, the Company has issued incentive stock units to eligible employees that vest upon attainment of certain cumulative three-year performance goals.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2020, the Company estimates that it will achieve 41%, 0% and 100% for the incentive stock units expected to vest based on performance for the three year periods ending December 31, 2020, 2021, and 2022,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5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closing price of the Company’s common stock on the date of grant and recognized over the applicable vesting period.</w:t>
      </w:r>
    </w:p>
    <w:p>
      <w:pPr>
        <w:spacing w:after="0" w:line="62" w:lineRule="exact"/>
        <w:rPr>
          <w:sz w:val="20"/>
          <w:szCs w:val="20"/>
          <w:color w:val="auto"/>
        </w:rPr>
      </w:pPr>
    </w:p>
    <w:p>
      <w:pPr>
        <w:jc w:val="both"/>
        <w:ind w:right="500" w:firstLine="486"/>
        <w:spacing w:after="0" w:line="308"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years ended December 31:</w:t>
      </w: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9"/>
              <w:spacing w:after="0" w:line="163"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Stock</w:t>
            </w: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and Units</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2017</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224,060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73.76</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81.55</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Adjustment for incentive stock awards expected to vest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74.62</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0" w:type="dxa"/>
            <w:vAlign w:val="bottom"/>
          </w:tcPr>
          <w:p>
            <w:pPr>
              <w:spacing w:after="0"/>
              <w:rPr>
                <w:sz w:val="1"/>
                <w:szCs w:val="1"/>
                <w:color w:val="auto"/>
              </w:rPr>
            </w:pPr>
          </w:p>
        </w:tc>
      </w:tr>
      <w:tr>
        <w:trPr>
          <w:trHeight w:val="206"/>
        </w:trPr>
        <w:tc>
          <w:tcPr>
            <w:tcW w:w="6640" w:type="dxa"/>
            <w:vAlign w:val="bottom"/>
          </w:tcPr>
          <w:p>
            <w:pPr>
              <w:ind w:left="20"/>
              <w:spacing w:after="0"/>
              <w:rPr>
                <w:sz w:val="20"/>
                <w:szCs w:val="20"/>
                <w:color w:val="auto"/>
              </w:rPr>
            </w:pPr>
            <w:r>
              <w:rPr>
                <w:rFonts w:ascii="Arial" w:cs="Arial" w:eastAsia="Arial" w:hAnsi="Arial"/>
                <w:sz w:val="16"/>
                <w:szCs w:val="16"/>
                <w:color w:val="auto"/>
              </w:rPr>
              <w:t>Outstanding at December 31, 2018</w:t>
            </w:r>
          </w:p>
        </w:tc>
        <w:tc>
          <w:tcPr>
            <w:tcW w:w="1460" w:type="dxa"/>
            <w:vAlign w:val="bottom"/>
          </w:tcPr>
          <w:p>
            <w:pPr>
              <w:jc w:val="right"/>
              <w:spacing w:after="0"/>
              <w:rPr>
                <w:sz w:val="20"/>
                <w:szCs w:val="20"/>
                <w:color w:val="auto"/>
              </w:rPr>
            </w:pPr>
            <w:r>
              <w:rPr>
                <w:rFonts w:ascii="Arial" w:cs="Arial" w:eastAsia="Arial" w:hAnsi="Arial"/>
                <w:sz w:val="16"/>
                <w:szCs w:val="16"/>
                <w:color w:val="auto"/>
              </w:rPr>
              <w:t>445,089</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415,242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75.51</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Granted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608,813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tcPr>
          <w:p>
            <w:pPr>
              <w:jc w:val="right"/>
              <w:spacing w:after="0"/>
              <w:rPr>
                <w:sz w:val="20"/>
                <w:szCs w:val="20"/>
                <w:color w:val="auto"/>
              </w:rPr>
            </w:pPr>
            <w:r>
              <w:rPr>
                <w:rFonts w:ascii="Arial" w:cs="Arial" w:eastAsia="Arial" w:hAnsi="Arial"/>
                <w:sz w:val="16"/>
                <w:szCs w:val="16"/>
                <w:color w:val="auto"/>
              </w:rPr>
              <w:t>(235,406)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(119,835)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 for incentive stock awards expected to vest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74.04</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791,031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283,587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250,197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77.45</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Arial" w:cs="Arial" w:eastAsia="Arial" w:hAnsi="Arial"/>
                <w:sz w:val="16"/>
                <w:szCs w:val="16"/>
                <w:color w:val="auto"/>
              </w:rPr>
              <w:t>Adjustment for incentive stock awards expected to vest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(331,004)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71.32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(83,705)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72.83</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645,054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270,645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73.75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LOSS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4"/>
                <w:szCs w:val="14"/>
                <w:color w:val="auto"/>
              </w:rPr>
            </w:pPr>
          </w:p>
        </w:tc>
        <w:tc>
          <w:tcPr>
            <w:tcW w:w="1320" w:type="dxa"/>
            <w:vAlign w:val="bottom"/>
          </w:tcPr>
          <w:p>
            <w:pPr>
              <w:jc w:val="right"/>
              <w:ind w:right="6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jc w:val="right"/>
              <w:ind w:right="659"/>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w:t>
            </w:r>
          </w:p>
        </w:tc>
      </w:tr>
      <w:tr>
        <w:trPr>
          <w:trHeight w:val="213"/>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6"/>
                <w:szCs w:val="16"/>
                <w:color w:val="auto"/>
              </w:rPr>
              <w:t>Unrealized gain (loss) on derivative contracts, net of tax of $0.8 and $0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loss on pension and post-retirement benefit plans, net of tax of $27.0 and $24.7</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r>
      <w:tr>
        <w:trPr>
          <w:trHeight w:val="213"/>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6"/>
                <w:szCs w:val="16"/>
                <w:color w:val="auto"/>
              </w:rPr>
              <w:t>Total accumulated other comprehensive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76" w:name="page77"/>
    <w:bookmarkEnd w:id="76"/>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year-ended December 31, 2020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Foreign currency</w:t>
            </w:r>
          </w:p>
        </w:tc>
        <w:tc>
          <w:tcPr>
            <w:tcW w:w="180" w:type="dxa"/>
            <w:vAlign w:val="bottom"/>
          </w:tcPr>
          <w:p>
            <w:pPr>
              <w:spacing w:after="0"/>
              <w:rPr>
                <w:sz w:val="16"/>
                <w:szCs w:val="16"/>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Derivative</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Pension and post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retirement</w:t>
            </w:r>
          </w:p>
        </w:tc>
        <w:tc>
          <w:tcPr>
            <w:tcW w:w="280" w:type="dxa"/>
            <w:vAlign w:val="bottom"/>
          </w:tcPr>
          <w:p>
            <w:pPr>
              <w:spacing w:after="0"/>
              <w:rPr>
                <w:sz w:val="7"/>
                <w:szCs w:val="7"/>
                <w:color w:val="auto"/>
              </w:rPr>
            </w:pPr>
          </w:p>
        </w:tc>
        <w:tc>
          <w:tcPr>
            <w:tcW w:w="960" w:type="dxa"/>
            <w:vAlign w:val="bottom"/>
            <w:vMerge w:val="restart"/>
          </w:tcPr>
          <w:p>
            <w:pPr>
              <w:jc w:val="right"/>
              <w:ind w:right="35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translation</w:t>
            </w:r>
          </w:p>
        </w:tc>
        <w:tc>
          <w:tcPr>
            <w:tcW w:w="180" w:type="dxa"/>
            <w:vAlign w:val="bottom"/>
          </w:tcPr>
          <w:p>
            <w:pPr>
              <w:spacing w:after="0"/>
              <w:rPr>
                <w:sz w:val="7"/>
                <w:szCs w:val="7"/>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benefit plans</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Other comprehensive income before reclassifications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current-period other comprehensive income</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year-ended December 31, 2020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Amount reclassified from</w:t>
            </w:r>
          </w:p>
        </w:tc>
        <w:tc>
          <w:tcPr>
            <w:tcW w:w="12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0"/>
              </w:rPr>
              <w:t>Affected line item in the Condensed</w:t>
            </w: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1"/>
              </w:rPr>
              <w:t>accumulated other</w:t>
            </w:r>
          </w:p>
        </w:tc>
        <w:tc>
          <w:tcPr>
            <w:tcW w:w="120" w:type="dxa"/>
            <w:vAlign w:val="bottom"/>
          </w:tcPr>
          <w:p>
            <w:pPr>
              <w:spacing w:after="0"/>
              <w:rPr>
                <w:sz w:val="14"/>
                <w:szCs w:val="14"/>
                <w:color w:val="auto"/>
              </w:rPr>
            </w:pPr>
          </w:p>
        </w:tc>
        <w:tc>
          <w:tcPr>
            <w:tcW w:w="2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Consolidated Statements of</w:t>
            </w:r>
          </w:p>
        </w:tc>
      </w:tr>
      <w:tr>
        <w:trPr>
          <w:trHeight w:val="175"/>
        </w:trPr>
        <w:tc>
          <w:tcPr>
            <w:tcW w:w="20" w:type="dxa"/>
            <w:vAlign w:val="bottom"/>
          </w:tcPr>
          <w:p>
            <w:pPr>
              <w:spacing w:after="0"/>
              <w:rPr>
                <w:sz w:val="15"/>
                <w:szCs w:val="15"/>
                <w:color w:val="auto"/>
              </w:rPr>
            </w:pPr>
          </w:p>
        </w:tc>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2140" w:type="dxa"/>
            <w:vAlign w:val="bottom"/>
          </w:tcPr>
          <w:p>
            <w:pPr>
              <w:jc w:val="center"/>
              <w:ind w:right="119"/>
              <w:spacing w:after="0" w:line="175" w:lineRule="exact"/>
              <w:rPr>
                <w:sz w:val="20"/>
                <w:szCs w:val="20"/>
                <w:color w:val="auto"/>
              </w:rPr>
            </w:pPr>
            <w:r>
              <w:rPr>
                <w:rFonts w:ascii="Arial" w:cs="Arial" w:eastAsia="Arial" w:hAnsi="Arial"/>
                <w:sz w:val="16"/>
                <w:szCs w:val="16"/>
                <w:b w:val="1"/>
                <w:bCs w:val="1"/>
                <w:color w:val="auto"/>
                <w:w w:val="88"/>
              </w:rPr>
              <w:t>comprehensive income</w:t>
            </w:r>
          </w:p>
        </w:tc>
        <w:tc>
          <w:tcPr>
            <w:tcW w:w="120" w:type="dxa"/>
            <w:vAlign w:val="bottom"/>
          </w:tcPr>
          <w:p>
            <w:pPr>
              <w:spacing w:after="0"/>
              <w:rPr>
                <w:sz w:val="15"/>
                <w:szCs w:val="15"/>
                <w:color w:val="auto"/>
              </w:rPr>
            </w:pPr>
          </w:p>
        </w:tc>
        <w:tc>
          <w:tcPr>
            <w:tcW w:w="25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Operations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defined pension and post retirement items</w:t>
            </w:r>
          </w:p>
        </w:tc>
        <w:tc>
          <w:tcPr>
            <w:tcW w:w="2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6"/>
                <w:szCs w:val="16"/>
                <w:color w:val="auto"/>
              </w:rPr>
              <w:t>Amortization of initial net obligation and prior service cost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Pr>
          <w:p>
            <w:pPr>
              <w:jc w:val="center"/>
              <w:ind w:left="1699"/>
              <w:spacing w:after="0"/>
              <w:rPr>
                <w:sz w:val="20"/>
                <w:szCs w:val="20"/>
                <w:color w:val="auto"/>
              </w:rPr>
            </w:pPr>
            <w:r>
              <w:rPr>
                <w:rFonts w:ascii="Arial" w:cs="Arial" w:eastAsia="Arial" w:hAnsi="Arial"/>
                <w:sz w:val="16"/>
                <w:szCs w:val="16"/>
                <w:color w:val="auto"/>
                <w:w w:val="97"/>
              </w:rPr>
              <w:t>(1.5)</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r>
      <w:tr>
        <w:trPr>
          <w:trHeight w:val="21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net loss (gain)</w:t>
            </w:r>
          </w:p>
        </w:tc>
        <w:tc>
          <w:tcPr>
            <w:tcW w:w="2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center"/>
              <w:ind w:left="1739"/>
              <w:spacing w:after="0"/>
              <w:rPr>
                <w:sz w:val="20"/>
                <w:szCs w:val="20"/>
                <w:color w:val="auto"/>
              </w:rPr>
            </w:pPr>
            <w:r>
              <w:rPr>
                <w:rFonts w:ascii="Arial" w:cs="Arial" w:eastAsia="Arial" w:hAnsi="Arial"/>
                <w:sz w:val="16"/>
                <w:szCs w:val="16"/>
                <w:color w:val="auto"/>
                <w:w w:val="89"/>
              </w:rPr>
              <w:t>5.4</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jc w:val="center"/>
              <w:ind w:left="1739"/>
              <w:spacing w:after="0"/>
              <w:rPr>
                <w:sz w:val="20"/>
                <w:szCs w:val="20"/>
                <w:color w:val="auto"/>
              </w:rPr>
            </w:pPr>
            <w:r>
              <w:rPr>
                <w:rFonts w:ascii="Arial" w:cs="Arial" w:eastAsia="Arial" w:hAnsi="Arial"/>
                <w:sz w:val="16"/>
                <w:szCs w:val="16"/>
                <w:color w:val="auto"/>
                <w:w w:val="89"/>
              </w:rPr>
              <w:t>3.9</w:t>
            </w: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ind w:left="1699"/>
              <w:spacing w:after="0"/>
              <w:rPr>
                <w:sz w:val="20"/>
                <w:szCs w:val="20"/>
                <w:color w:val="auto"/>
              </w:rPr>
            </w:pPr>
            <w:r>
              <w:rPr>
                <w:rFonts w:ascii="Arial" w:cs="Arial" w:eastAsia="Arial" w:hAnsi="Arial"/>
                <w:sz w:val="16"/>
                <w:szCs w:val="16"/>
                <w:color w:val="auto"/>
                <w:w w:val="97"/>
              </w:rPr>
              <w:t>(1.0)</w:t>
            </w: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tcBorders>
          </w:tcPr>
          <w:p>
            <w:pPr>
              <w:jc w:val="center"/>
              <w:ind w:left="1739"/>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Net income</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year-ended December 31, 2019 are as follows: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38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3"/>
              </w:rPr>
              <w:t>Foreign currency</w:t>
            </w:r>
          </w:p>
        </w:tc>
        <w:tc>
          <w:tcPr>
            <w:tcW w:w="180" w:type="dxa"/>
            <w:vAlign w:val="bottom"/>
          </w:tcPr>
          <w:p>
            <w:pPr>
              <w:spacing w:after="0"/>
              <w:rPr>
                <w:sz w:val="16"/>
                <w:szCs w:val="16"/>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Derivative</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Pension and post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16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retirement</w:t>
            </w:r>
          </w:p>
        </w:tc>
        <w:tc>
          <w:tcPr>
            <w:tcW w:w="280" w:type="dxa"/>
            <w:vAlign w:val="bottom"/>
          </w:tcPr>
          <w:p>
            <w:pPr>
              <w:spacing w:after="0"/>
              <w:rPr>
                <w:sz w:val="7"/>
                <w:szCs w:val="7"/>
                <w:color w:val="auto"/>
              </w:rPr>
            </w:pPr>
          </w:p>
        </w:tc>
        <w:tc>
          <w:tcPr>
            <w:tcW w:w="980" w:type="dxa"/>
            <w:vAlign w:val="bottom"/>
            <w:vMerge w:val="restart"/>
          </w:tcPr>
          <w:p>
            <w:pPr>
              <w:jc w:val="right"/>
              <w:ind w:right="37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translation</w:t>
            </w:r>
          </w:p>
        </w:tc>
        <w:tc>
          <w:tcPr>
            <w:tcW w:w="180" w:type="dxa"/>
            <w:vAlign w:val="bottom"/>
          </w:tcPr>
          <w:p>
            <w:pPr>
              <w:spacing w:after="0"/>
              <w:rPr>
                <w:sz w:val="7"/>
                <w:szCs w:val="7"/>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60"/>
              <w:spacing w:after="0" w:line="175" w:lineRule="exact"/>
              <w:rPr>
                <w:sz w:val="20"/>
                <w:szCs w:val="20"/>
                <w:color w:val="auto"/>
              </w:rPr>
            </w:pPr>
            <w:r>
              <w:rPr>
                <w:rFonts w:ascii="Arial" w:cs="Arial" w:eastAsia="Arial" w:hAnsi="Arial"/>
                <w:sz w:val="16"/>
                <w:szCs w:val="16"/>
                <w:b w:val="1"/>
                <w:bCs w:val="1"/>
                <w:color w:val="auto"/>
                <w:w w:val="89"/>
              </w:rPr>
              <w:t>benefit plans</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6"/>
                <w:szCs w:val="16"/>
                <w:color w:val="auto"/>
              </w:rPr>
              <w:t>Other comprehensive income before reclassifications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current-period other comprehensive income</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year-ended December 31, 2019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Amount reclassified from</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0"/>
              </w:rPr>
              <w:t>Affected line item in the Condensed</w:t>
            </w: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1"/>
              </w:rPr>
              <w:t>accumulated other</w:t>
            </w:r>
          </w:p>
        </w:tc>
        <w:tc>
          <w:tcPr>
            <w:tcW w:w="2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Consolidated Statements of</w:t>
            </w:r>
          </w:p>
        </w:tc>
      </w:tr>
      <w:tr>
        <w:trPr>
          <w:trHeight w:val="175"/>
        </w:trPr>
        <w:tc>
          <w:tcPr>
            <w:tcW w:w="20" w:type="dxa"/>
            <w:vAlign w:val="bottom"/>
          </w:tcPr>
          <w:p>
            <w:pPr>
              <w:spacing w:after="0"/>
              <w:rPr>
                <w:sz w:val="15"/>
                <w:szCs w:val="15"/>
                <w:color w:val="auto"/>
              </w:rPr>
            </w:pPr>
          </w:p>
        </w:tc>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226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8"/>
              </w:rPr>
              <w:t>comprehensive income</w:t>
            </w:r>
          </w:p>
        </w:tc>
        <w:tc>
          <w:tcPr>
            <w:tcW w:w="26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Operations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defined pension and post retirement items</w:t>
            </w:r>
          </w:p>
        </w:tc>
        <w:tc>
          <w:tcPr>
            <w:tcW w:w="2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6"/>
                <w:szCs w:val="16"/>
                <w:color w:val="auto"/>
              </w:rPr>
              <w:t>Amortization of initial net obligation and prior service cost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Pr>
          <w:p>
            <w:pPr>
              <w:jc w:val="center"/>
              <w:ind w:left="1699"/>
              <w:spacing w:after="0"/>
              <w:rPr>
                <w:sz w:val="20"/>
                <w:szCs w:val="20"/>
                <w:color w:val="auto"/>
              </w:rPr>
            </w:pPr>
            <w:r>
              <w:rPr>
                <w:rFonts w:ascii="Arial" w:cs="Arial" w:eastAsia="Arial" w:hAnsi="Arial"/>
                <w:sz w:val="16"/>
                <w:szCs w:val="16"/>
                <w:color w:val="auto"/>
                <w:w w:val="97"/>
              </w:rPr>
              <w:t>(1.5)</w:t>
            </w:r>
          </w:p>
        </w:tc>
        <w:tc>
          <w:tcPr>
            <w:tcW w:w="12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r>
      <w:tr>
        <w:trPr>
          <w:trHeight w:val="216"/>
        </w:trPr>
        <w:tc>
          <w:tcPr>
            <w:tcW w:w="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net loss (gain)</w:t>
            </w:r>
          </w:p>
        </w:tc>
        <w:tc>
          <w:tcPr>
            <w:tcW w:w="2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ind w:left="1739"/>
              <w:spacing w:after="0"/>
              <w:rPr>
                <w:sz w:val="20"/>
                <w:szCs w:val="20"/>
                <w:color w:val="auto"/>
              </w:rPr>
            </w:pPr>
            <w:r>
              <w:rPr>
                <w:rFonts w:ascii="Arial" w:cs="Arial" w:eastAsia="Arial" w:hAnsi="Arial"/>
                <w:sz w:val="16"/>
                <w:szCs w:val="16"/>
                <w:color w:val="auto"/>
                <w:w w:val="89"/>
              </w:rPr>
              <w:t>4.4</w:t>
            </w:r>
          </w:p>
        </w:tc>
        <w:tc>
          <w:tcPr>
            <w:tcW w:w="120" w:type="dxa"/>
            <w:vAlign w:val="bottom"/>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center"/>
              <w:ind w:left="1739"/>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ind w:left="1699"/>
              <w:spacing w:after="0"/>
              <w:rPr>
                <w:sz w:val="20"/>
                <w:szCs w:val="20"/>
                <w:color w:val="auto"/>
              </w:rPr>
            </w:pPr>
            <w:r>
              <w:rPr>
                <w:rFonts w:ascii="Arial" w:cs="Arial" w:eastAsia="Arial" w:hAnsi="Arial"/>
                <w:sz w:val="16"/>
                <w:szCs w:val="16"/>
                <w:color w:val="auto"/>
                <w:w w:val="97"/>
              </w:rPr>
              <w:t>(0.8)</w:t>
            </w:r>
          </w:p>
        </w:tc>
        <w:tc>
          <w:tcPr>
            <w:tcW w:w="120" w:type="dxa"/>
            <w:vAlign w:val="bottom"/>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tcBorders>
          </w:tcPr>
          <w:p>
            <w:pPr>
              <w:jc w:val="center"/>
              <w:ind w:left="1739"/>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8"/>
                <w:szCs w:val="18"/>
                <w:color w:val="auto"/>
              </w:rPr>
            </w:pP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r>
      <w:tr>
        <w:trPr>
          <w:trHeight w:val="2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100" w:firstLine="486"/>
        <w:spacing w:after="0" w:line="243"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w:t>
      </w:r>
    </w:p>
    <w:p>
      <w:pPr>
        <w:spacing w:after="0" w:line="80" w:lineRule="exact"/>
        <w:rPr>
          <w:sz w:val="20"/>
          <w:szCs w:val="20"/>
          <w:color w:val="auto"/>
        </w:rPr>
      </w:pPr>
    </w:p>
    <w:p>
      <w:pPr>
        <w:ind w:right="600" w:firstLine="486"/>
        <w:spacing w:after="0" w:line="291"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7" w:name="page78"/>
    <w:bookmarkEnd w:id="77"/>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37"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Finance lease expense amortization of leased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variable lease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Scheduled payments of lease liabilities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Operating Leases</w:t>
            </w:r>
          </w:p>
        </w:tc>
        <w:tc>
          <w:tcPr>
            <w:tcW w:w="28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Finance</w:t>
            </w:r>
          </w:p>
        </w:tc>
        <w:tc>
          <w:tcPr>
            <w:tcW w:w="340" w:type="dxa"/>
            <w:vAlign w:val="bottom"/>
          </w:tcPr>
          <w:p>
            <w:pPr>
              <w:spacing w:after="0"/>
              <w:rPr>
                <w:sz w:val="16"/>
                <w:szCs w:val="16"/>
                <w:color w:val="auto"/>
              </w:rPr>
            </w:pPr>
          </w:p>
        </w:tc>
        <w:tc>
          <w:tcPr>
            <w:tcW w:w="1180" w:type="dxa"/>
            <w:vAlign w:val="bottom"/>
            <w:vMerge w:val="restart"/>
          </w:tcPr>
          <w:p>
            <w:pPr>
              <w:jc w:val="right"/>
              <w:ind w:right="49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jc w:val="center"/>
              <w:ind w:right="380"/>
              <w:spacing w:after="0" w:line="175" w:lineRule="exact"/>
              <w:rPr>
                <w:sz w:val="20"/>
                <w:szCs w:val="20"/>
                <w:color w:val="auto"/>
              </w:rPr>
            </w:pPr>
            <w:r>
              <w:rPr>
                <w:rFonts w:ascii="Arial" w:cs="Arial" w:eastAsia="Arial" w:hAnsi="Arial"/>
                <w:sz w:val="16"/>
                <w:szCs w:val="16"/>
                <w:b w:val="1"/>
                <w:bCs w:val="1"/>
                <w:color w:val="auto"/>
                <w:w w:val="84"/>
              </w:rPr>
              <w:t>Leases</w:t>
            </w: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1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3"/>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4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3"/>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4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6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103.6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323.8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Present value discount</w:t>
            </w:r>
          </w:p>
        </w:tc>
        <w:tc>
          <w:tcPr>
            <w:tcW w:w="16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5"/>
              </w:rPr>
              <w:t>(29.0)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Present value lease liabilities</w:t>
            </w:r>
          </w:p>
        </w:tc>
        <w:tc>
          <w:tcPr>
            <w:tcW w:w="1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294.8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11220" w:type="dxa"/>
            <w:vAlign w:val="bottom"/>
            <w:gridSpan w:val="14"/>
          </w:tcPr>
          <w:p>
            <w:pPr>
              <w:jc w:val="right"/>
              <w:ind w:right="517"/>
              <w:spacing w:after="0"/>
              <w:rPr>
                <w:sz w:val="20"/>
                <w:szCs w:val="20"/>
                <w:color w:val="auto"/>
              </w:rPr>
            </w:pPr>
            <w:r>
              <w:rPr>
                <w:rFonts w:ascii="Arial" w:cs="Arial" w:eastAsia="Arial" w:hAnsi="Arial"/>
                <w:sz w:val="18"/>
                <w:szCs w:val="18"/>
                <w:color w:val="auto"/>
                <w:w w:val="94"/>
              </w:rPr>
              <w:t>The following table summarizes the remaining lease term and discount rate assumptions used to develop the present value of lease liabilities:</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December 31, 2020</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837"/>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Arial" w:cs="Arial" w:eastAsia="Arial" w:hAnsi="Arial"/>
                <w:sz w:val="16"/>
                <w:szCs w:val="16"/>
                <w:color w:val="auto"/>
              </w:rPr>
              <w:t>Operating leases</w:t>
            </w: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16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220"/>
              <w:spacing w:after="0"/>
              <w:rPr>
                <w:sz w:val="20"/>
                <w:szCs w:val="20"/>
                <w:color w:val="auto"/>
              </w:rPr>
            </w:pPr>
            <w:r>
              <w:rPr>
                <w:rFonts w:ascii="Arial" w:cs="Arial" w:eastAsia="Arial" w:hAnsi="Arial"/>
                <w:sz w:val="16"/>
                <w:szCs w:val="16"/>
                <w:color w:val="auto"/>
              </w:rPr>
              <w:t>Finance leases</w:t>
            </w: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2"/>
              </w:rPr>
              <w:t>1.4 %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566"/>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16. WARRANTIES</w:t>
            </w: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gridSpan w:val="4"/>
          </w:tcPr>
          <w:p>
            <w:pPr>
              <w:ind w:left="480"/>
              <w:spacing w:after="0"/>
              <w:rPr>
                <w:sz w:val="20"/>
                <w:szCs w:val="20"/>
                <w:color w:val="auto"/>
              </w:rPr>
            </w:pPr>
            <w:r>
              <w:rPr>
                <w:rFonts w:ascii="Arial" w:cs="Arial" w:eastAsia="Arial" w:hAnsi="Arial"/>
                <w:sz w:val="18"/>
                <w:szCs w:val="18"/>
                <w:color w:val="auto"/>
                <w:w w:val="90"/>
              </w:rPr>
              <w:t>The following table reconciles the changes in the Company’s product warranty reserve as follows: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17"/>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Acquisitions</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Warranty expense</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Warranty claim payments</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currency impact</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FINANCIAL INSTRUMENTS AND HEDGING</w:t>
      </w:r>
    </w:p>
    <w:p>
      <w:pPr>
        <w:spacing w:after="0" w:line="12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limit these risks through the use of derivatives such as cross-currency swaps, foreign currency forward contracts, interest rate swaps, commodity forwards and futures. In accordance with our policy, derivatives are only used for hedging purposes. We do not use derivatives for trading or speculative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uses forward contracts to hedge forecasted foreign currency denominated sales of finished goods and future settlement of foreign currency denominated assets and liabilities. Derivatives used to hedge forecasted transactions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8" w:name="page79"/>
    <w:bookmarkEnd w:id="78"/>
    <w:p>
      <w:pPr>
        <w:ind w:right="60"/>
        <w:spacing w:after="0" w:line="259" w:lineRule="auto"/>
        <w:rPr>
          <w:sz w:val="20"/>
          <w:szCs w:val="20"/>
          <w:color w:val="auto"/>
        </w:rPr>
      </w:pPr>
      <w:r>
        <w:rPr>
          <w:rFonts w:ascii="Arial" w:cs="Arial" w:eastAsia="Arial" w:hAnsi="Arial"/>
          <w:sz w:val="18"/>
          <w:szCs w:val="18"/>
          <w:color w:val="auto"/>
        </w:rPr>
        <w:t>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For the years ended December 31, 2020, and 2019 the amounts reclassified into income were not material.</w:t>
      </w:r>
    </w:p>
    <w:p>
      <w:pPr>
        <w:spacing w:after="0" w:line="7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7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w:t>
      </w:r>
    </w:p>
    <w:p>
      <w:pPr>
        <w:spacing w:after="0" w:line="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accounting, but which have the impact of largely mitigating foreign currency exposure. These foreign exchange contracts are accounted for on a full mark to market basis through earnings, with gains and losses recorded as a component of other expense, net. The net loss related to these contracts was $0.9 million for the twelve months ended December 31, 2020. These contracts are scheduled to mature within one year.</w:t>
      </w:r>
    </w:p>
    <w:p>
      <w:pPr>
        <w:spacing w:after="0" w:line="5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4"/>
          </w:tcPr>
          <w:p>
            <w:pPr>
              <w:ind w:left="102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30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79"/>
              <w:spacing w:after="0" w:line="172" w:lineRule="exact"/>
              <w:rPr>
                <w:sz w:val="20"/>
                <w:szCs w:val="20"/>
                <w:color w:val="auto"/>
              </w:rPr>
            </w:pPr>
            <w:r>
              <w:rPr>
                <w:rFonts w:ascii="Arial" w:cs="Arial" w:eastAsia="Arial" w:hAnsi="Arial"/>
                <w:sz w:val="16"/>
                <w:szCs w:val="16"/>
                <w:b w:val="1"/>
                <w:bCs w:val="1"/>
                <w:color w:val="auto"/>
              </w:rPr>
              <w:t>Designated</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59"/>
              <w:spacing w:after="0" w:line="172" w:lineRule="exact"/>
              <w:rPr>
                <w:sz w:val="20"/>
                <w:szCs w:val="20"/>
                <w:color w:val="auto"/>
              </w:rPr>
            </w:pPr>
            <w:r>
              <w:rPr>
                <w:rFonts w:ascii="Arial" w:cs="Arial" w:eastAsia="Arial" w:hAnsi="Arial"/>
                <w:sz w:val="16"/>
                <w:szCs w:val="16"/>
                <w:b w:val="1"/>
                <w:bCs w:val="1"/>
                <w:color w:val="auto"/>
                <w:w w:val="94"/>
              </w:rPr>
              <w:t>Non-Designated</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80"/>
              <w:spacing w:after="0" w:line="172" w:lineRule="exact"/>
              <w:rPr>
                <w:sz w:val="20"/>
                <w:szCs w:val="20"/>
                <w:color w:val="auto"/>
              </w:rPr>
            </w:pPr>
            <w:r>
              <w:rPr>
                <w:rFonts w:ascii="Arial" w:cs="Arial" w:eastAsia="Arial" w:hAnsi="Arial"/>
                <w:sz w:val="16"/>
                <w:szCs w:val="16"/>
                <w:b w:val="1"/>
                <w:bCs w:val="1"/>
                <w:color w:val="auto"/>
              </w:rPr>
              <w:t>Designated</w:t>
            </w: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79"/>
              <w:spacing w:after="0" w:line="172" w:lineRule="exact"/>
              <w:rPr>
                <w:sz w:val="20"/>
                <w:szCs w:val="20"/>
                <w:color w:val="auto"/>
              </w:rPr>
            </w:pPr>
            <w:r>
              <w:rPr>
                <w:rFonts w:ascii="Arial" w:cs="Arial" w:eastAsia="Arial" w:hAnsi="Arial"/>
                <w:sz w:val="16"/>
                <w:szCs w:val="16"/>
                <w:b w:val="1"/>
                <w:bCs w:val="1"/>
                <w:color w:val="auto"/>
                <w:w w:val="94"/>
              </w:rPr>
              <w:t>Non-Designated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00" w:type="dxa"/>
            <w:vAlign w:val="bottom"/>
            <w:gridSpan w:val="2"/>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319.60</w:t>
            </w:r>
          </w:p>
        </w:tc>
      </w:tr>
      <w:tr>
        <w:trPr>
          <w:trHeight w:val="213"/>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Cross-currency Swaps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500" w:type="dxa"/>
            <w:vAlign w:val="bottom"/>
            <w:gridSpan w:val="2"/>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w:t>
            </w:r>
          </w:p>
        </w:tc>
        <w:tc>
          <w:tcPr>
            <w:tcW w:w="2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86"/>
        <w:spacing w:after="0" w:line="274"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2019:</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5"/>
          </w:tcPr>
          <w:p>
            <w:pPr>
              <w:ind w:left="102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30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80"/>
              <w:spacing w:after="0" w:line="17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59"/>
              <w:spacing w:after="0" w:line="172" w:lineRule="exact"/>
              <w:rPr>
                <w:sz w:val="20"/>
                <w:szCs w:val="20"/>
                <w:color w:val="auto"/>
              </w:rPr>
            </w:pPr>
            <w:r>
              <w:rPr>
                <w:rFonts w:ascii="Arial" w:cs="Arial" w:eastAsia="Arial" w:hAnsi="Arial"/>
                <w:sz w:val="16"/>
                <w:szCs w:val="16"/>
                <w:b w:val="1"/>
                <w:bCs w:val="1"/>
                <w:color w:val="auto"/>
                <w:w w:val="92"/>
              </w:rPr>
              <w:t>Non-Designated</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80"/>
              <w:spacing w:after="0" w:line="17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39"/>
              <w:spacing w:after="0" w:line="172" w:lineRule="exact"/>
              <w:rPr>
                <w:sz w:val="20"/>
                <w:szCs w:val="20"/>
                <w:color w:val="auto"/>
              </w:rPr>
            </w:pPr>
            <w:r>
              <w:rPr>
                <w:rFonts w:ascii="Arial" w:cs="Arial" w:eastAsia="Arial" w:hAnsi="Arial"/>
                <w:sz w:val="16"/>
                <w:szCs w:val="16"/>
                <w:b w:val="1"/>
                <w:bCs w:val="1"/>
                <w:color w:val="auto"/>
                <w:w w:val="94"/>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920.0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412.9</w:t>
            </w: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rPr>
              <w:t>Cross-currency Swaps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520" w:type="dxa"/>
            <w:vAlign w:val="bottom"/>
            <w:gridSpan w:val="2"/>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w:t>
      </w:r>
    </w:p>
    <w:p>
      <w:pPr>
        <w:spacing w:after="0"/>
        <w:rPr>
          <w:sz w:val="20"/>
          <w:szCs w:val="20"/>
          <w:color w:val="auto"/>
        </w:rPr>
      </w:pPr>
      <w:r>
        <w:rPr>
          <w:rFonts w:ascii="Arial" w:cs="Arial" w:eastAsia="Arial" w:hAnsi="Arial"/>
          <w:sz w:val="16"/>
          <w:szCs w:val="16"/>
          <w:color w:val="auto"/>
        </w:rPr>
        <w:t>activities that would put principal capital at risk. For the twelve months ended December 31, 2020 the amounts reclassified into income were not material.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Company may use commodity forward contracts and futures to manage its exposure to commodity price changes and to reduce its overall cost of manufacturing. For the twelve months ended December 31, 2020 the amounts reclassified into income were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 AND FAIR VALUE OF FINANCIAL INSTRUMENTS</w:t>
      </w:r>
    </w:p>
    <w:p>
      <w:pPr>
        <w:spacing w:after="0" w:line="12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8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600" w:firstLine="486"/>
        <w:spacing w:after="0" w:line="274"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December 31, 2020, which are included in other current assets and liabilities on the Consolidated Balance sheet:</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Fair Value Measurements at December 31, 2020 Using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3"/>
              </w:rPr>
              <w:t>Total Carrying</w:t>
            </w:r>
          </w:p>
        </w:tc>
        <w:tc>
          <w:tcPr>
            <w:tcW w:w="176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89"/>
              </w:rPr>
              <w:t>Quoted Prices in</w:t>
            </w: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Value at</w:t>
            </w:r>
          </w:p>
        </w:tc>
        <w:tc>
          <w:tcPr>
            <w:tcW w:w="17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Active Markets for</w:t>
            </w:r>
          </w:p>
        </w:tc>
        <w:tc>
          <w:tcPr>
            <w:tcW w:w="188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Identical Assets</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Observable Inputs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5"/>
                <w:szCs w:val="15"/>
                <w:color w:val="auto"/>
              </w:rPr>
            </w:pPr>
          </w:p>
        </w:tc>
        <w:tc>
          <w:tcPr>
            <w:tcW w:w="176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5"/>
              </w:rPr>
              <w:t>(Level 1)</w:t>
            </w:r>
          </w:p>
        </w:tc>
        <w:tc>
          <w:tcPr>
            <w:tcW w:w="188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2"/>
              </w:rPr>
              <w:t>(Level 2)</w:t>
            </w:r>
          </w:p>
        </w:tc>
        <w:tc>
          <w:tcPr>
            <w:tcW w:w="13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120"/>
              <w:spacing w:after="0"/>
              <w:rPr>
                <w:sz w:val="20"/>
                <w:szCs w:val="20"/>
                <w:color w:val="auto"/>
              </w:rPr>
            </w:pPr>
            <w:r>
              <w:rPr>
                <w:rFonts w:ascii="Arial" w:cs="Arial" w:eastAsia="Arial" w:hAnsi="Arial"/>
                <w:sz w:val="16"/>
                <w:szCs w:val="16"/>
                <w:color w:val="auto"/>
              </w:rPr>
              <w:t>Other Current Assets</w:t>
            </w:r>
          </w:p>
        </w:tc>
        <w:tc>
          <w:tcPr>
            <w:tcW w:w="13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76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Cross-Currency Swap Agreement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December 31, 2019, which are included in other current assets and liabilities on the Consolidated Balance sheet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Fair Value Measurements at December 31, 2019 Using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3"/>
              </w:rPr>
              <w:t>Total Carrying</w:t>
            </w:r>
          </w:p>
        </w:tc>
        <w:tc>
          <w:tcPr>
            <w:tcW w:w="1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Quoted Prices in</w:t>
            </w: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Value at</w:t>
            </w:r>
          </w:p>
        </w:tc>
        <w:tc>
          <w:tcPr>
            <w:tcW w:w="17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Active Markets for</w:t>
            </w:r>
          </w:p>
        </w:tc>
        <w:tc>
          <w:tcPr>
            <w:tcW w:w="188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Identical Assets</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Observable Inputs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5"/>
                <w:szCs w:val="15"/>
                <w:color w:val="auto"/>
              </w:rPr>
            </w:pPr>
          </w:p>
        </w:tc>
        <w:tc>
          <w:tcPr>
            <w:tcW w:w="176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5"/>
              </w:rPr>
              <w:t>(Level 1)</w:t>
            </w:r>
          </w:p>
        </w:tc>
        <w:tc>
          <w:tcPr>
            <w:tcW w:w="188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2"/>
              </w:rPr>
              <w:t>(Level 2)</w:t>
            </w:r>
          </w:p>
        </w:tc>
        <w:tc>
          <w:tcPr>
            <w:tcW w:w="13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Arial" w:cs="Arial" w:eastAsia="Arial" w:hAnsi="Arial"/>
                <w:sz w:val="16"/>
                <w:szCs w:val="16"/>
                <w:color w:val="auto"/>
              </w:rPr>
              <w:t>Other Current Assets</w:t>
            </w:r>
          </w:p>
        </w:tc>
        <w:tc>
          <w:tcPr>
            <w:tcW w:w="13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6"/>
                <w:szCs w:val="16"/>
                <w:color w:val="auto"/>
              </w:rPr>
              <w:t>Cross-Currency Swap Agreement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3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December 31, 2020 and December 31, 2019. The Company’s defined benefit pension plan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0" w:name="page81"/>
    <w:bookmarkEnd w:id="80"/>
    <w:p>
      <w:pPr>
        <w:ind w:right="40"/>
        <w:spacing w:after="0" w:line="271" w:lineRule="auto"/>
        <w:rPr>
          <w:sz w:val="20"/>
          <w:szCs w:val="20"/>
          <w:color w:val="auto"/>
        </w:rPr>
      </w:pPr>
      <w:r>
        <w:rPr>
          <w:rFonts w:ascii="Arial" w:cs="Arial" w:eastAsia="Arial" w:hAnsi="Arial"/>
          <w:sz w:val="17"/>
          <w:szCs w:val="17"/>
          <w:color w:val="auto"/>
        </w:rPr>
        <w:t>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$130.0 million classified as "Other accrued liabilities" on the Company's consolidated balance sheet and $218.1 million in long-term liabilities classified as "Contingent consideration" on the Company's consolidated balance sheet. The fair value approximates the carrying value at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Under terms of the purchase agreement and related documents for the 1990 acquisition, Ingersoll Rand, the successor-in-interest to American Standard, Inc. (“Ingersoll”), has indemnified the Company for certain items including, among other things, certain environmental claims the Company asserted prior to 2000. If Ingersoll was unable to honor or meet these indemnifications, the Company would be responsible for such items. In the opinion of Management, Ingersoll currently has the ability to meet its indemnification obligations.</w:t>
      </w:r>
    </w:p>
    <w:p>
      <w:pPr>
        <w:spacing w:after="0" w:line="79"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Most of these claims have been made against our wholly owned subsidiary, Railroad Friction Products Corporation (“RFPC”), and the vast majority of the claims, including all of the RFPC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Wabtec has incurred defense, administrative and indemnity costs in connection with these actions, but these costs have not been material, and the Company has no information that would suggest these costs would become material in the foreseeable future. Based on the Company’s history in resolving all asbestos claims over the last twenty years, Management believes that the costs of the Company’s asbestos-related cases will not be material to the Company’s overall financial position, results of operations and cash flows.</w:t>
      </w:r>
    </w:p>
    <w:p>
      <w:pPr>
        <w:spacing w:after="0" w:line="6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 No decision is expected until March or April 2021.</w:t>
      </w:r>
    </w:p>
    <w:p>
      <w:pPr>
        <w:spacing w:after="0" w:line="7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1" w:name="page82"/>
    <w:bookmarkEnd w:id="81"/>
    <w:p>
      <w:pPr>
        <w:ind w:right="100"/>
        <w:spacing w:after="0" w:line="270" w:lineRule="auto"/>
        <w:rPr>
          <w:sz w:val="20"/>
          <w:szCs w:val="20"/>
          <w:color w:val="auto"/>
        </w:rPr>
      </w:pPr>
      <w:r>
        <w:rPr>
          <w:rFonts w:ascii="Arial" w:cs="Arial" w:eastAsia="Arial" w:hAnsi="Arial"/>
          <w:sz w:val="17"/>
          <w:szCs w:val="17"/>
          <w:color w:val="auto"/>
        </w:rPr>
        <w:t>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The lawsuits seek unspecified damages on behalf of employees of the Company (including Faiveley Transport) and Knorr allegedly caused by the defendants’ actions. A federal Multi-District Litigation (MDL) Panel consolidated the cases in the Western District of Pennsylvania, and on October 12, 2018, a consolidated class action complaint was filed in the Western District of PA with five named plaintiffs. On August 13, 2019, the Company was notified that co-defendant Knorr-Bremse settled with plaintiffs. On January 21, 2020, following Court-sponsored early mediation, the Company entered into a Memorandum of Understanding with plaintiffs, agreeing to settle all claims in the case. In March 2020, the Court issued preliminary approval of the agreed settlement terms and amount. In December 2020, payments were distributed to class members.</w:t>
      </w:r>
    </w:p>
    <w:p>
      <w:pPr>
        <w:spacing w:after="0" w:line="73"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The Company believes these changes better present Management's new view of the business. The Company’s business segments are:</w:t>
      </w:r>
    </w:p>
    <w:p>
      <w:pPr>
        <w:spacing w:after="0" w:line="65" w:lineRule="exact"/>
        <w:rPr>
          <w:sz w:val="20"/>
          <w:szCs w:val="20"/>
          <w:color w:val="auto"/>
        </w:rPr>
      </w:pPr>
    </w:p>
    <w:p>
      <w:pPr>
        <w:ind w:right="300"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18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It also refurbishes subway cars and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300" w:firstLine="486"/>
        <w:spacing w:after="0" w:line="301" w:lineRule="auto"/>
        <w:rPr>
          <w:sz w:val="20"/>
          <w:szCs w:val="20"/>
          <w:color w:val="auto"/>
        </w:rPr>
      </w:pPr>
      <w:r>
        <w:rPr>
          <w:rFonts w:ascii="Arial" w:cs="Arial" w:eastAsia="Arial" w:hAnsi="Arial"/>
          <w:sz w:val="16"/>
          <w:szCs w:val="16"/>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The changes to the asset groups comprising the Freight and Transit segments have been reflected through retrospective revision of prior period segment information.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Segment financial information for 2020 is as follows: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8" w:lineRule="exact"/>
              <w:rPr>
                <w:sz w:val="20"/>
                <w:szCs w:val="20"/>
                <w:color w:val="auto"/>
              </w:rPr>
            </w:pPr>
            <w:r>
              <w:rPr>
                <w:rFonts w:ascii="Arial" w:cs="Arial" w:eastAsia="Arial" w:hAnsi="Arial"/>
                <w:sz w:val="16"/>
                <w:szCs w:val="16"/>
                <w:b w:val="1"/>
                <w:bCs w:val="1"/>
                <w:color w:val="auto"/>
                <w:w w:val="94"/>
              </w:rPr>
              <w:t>Corporate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9"/>
              </w:rPr>
              <w:t>Freight Segment</w:t>
            </w:r>
          </w:p>
        </w:tc>
        <w:tc>
          <w:tcPr>
            <w:tcW w:w="13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Transit Segment</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Activities and</w:t>
            </w:r>
          </w:p>
        </w:tc>
        <w:tc>
          <w:tcPr>
            <w:tcW w:w="260" w:type="dxa"/>
            <w:vAlign w:val="bottom"/>
          </w:tcPr>
          <w:p>
            <w:pPr>
              <w:spacing w:after="0"/>
              <w:rPr>
                <w:sz w:val="14"/>
                <w:szCs w:val="14"/>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w:t>
            </w:r>
          </w:p>
        </w:tc>
        <w:tc>
          <w:tcPr>
            <w:tcW w:w="1340" w:type="dxa"/>
            <w:vAlign w:val="bottom"/>
            <w:gridSpan w:val="3"/>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2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to external customers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Intersegment sales/(elimination)</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sales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Income (loss) from operations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gridSpan w:val="2"/>
            <w:vMerge w:val="continue"/>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and other, net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46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Segment financial information for 2019 is as follows: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40"/>
              <w:spacing w:after="0" w:line="168" w:lineRule="exact"/>
              <w:rPr>
                <w:sz w:val="20"/>
                <w:szCs w:val="20"/>
                <w:color w:val="auto"/>
              </w:rPr>
            </w:pPr>
            <w:r>
              <w:rPr>
                <w:rFonts w:ascii="Arial" w:cs="Arial" w:eastAsia="Arial" w:hAnsi="Arial"/>
                <w:sz w:val="16"/>
                <w:szCs w:val="16"/>
                <w:b w:val="1"/>
                <w:bCs w:val="1"/>
                <w:color w:val="auto"/>
                <w:w w:val="94"/>
              </w:rPr>
              <w:t>Corporate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9"/>
              </w:rPr>
              <w:t>Freight Segment</w:t>
            </w:r>
          </w:p>
        </w:tc>
        <w:tc>
          <w:tcPr>
            <w:tcW w:w="20" w:type="dxa"/>
            <w:vAlign w:val="bottom"/>
          </w:tcPr>
          <w:p>
            <w:pPr>
              <w:spacing w:after="0"/>
              <w:rPr>
                <w:sz w:val="14"/>
                <w:szCs w:val="14"/>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Transit Segment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Activities and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to external customers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Intersegment sales/(elimination)</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92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sales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gridSpan w:val="2"/>
            <w:vMerge w:val="continue"/>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(194.2)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and other, net</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tcPr>
          <w:p>
            <w:pPr>
              <w:ind w:left="46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Segment financial information for 2018 is as follows: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160"/>
              <w:spacing w:after="0" w:line="168" w:lineRule="exact"/>
              <w:rPr>
                <w:sz w:val="20"/>
                <w:szCs w:val="20"/>
                <w:color w:val="auto"/>
              </w:rPr>
            </w:pPr>
            <w:r>
              <w:rPr>
                <w:rFonts w:ascii="Arial" w:cs="Arial" w:eastAsia="Arial" w:hAnsi="Arial"/>
                <w:sz w:val="16"/>
                <w:szCs w:val="16"/>
                <w:b w:val="1"/>
                <w:bCs w:val="1"/>
                <w:color w:val="auto"/>
                <w:w w:val="94"/>
              </w:rPr>
              <w:t>Corporate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8"/>
              </w:rPr>
              <w:t>Freight Segment</w:t>
            </w:r>
          </w:p>
        </w:tc>
        <w:tc>
          <w:tcPr>
            <w:tcW w:w="20" w:type="dxa"/>
            <w:vAlign w:val="bottom"/>
          </w:tcPr>
          <w:p>
            <w:pPr>
              <w:spacing w:after="0"/>
              <w:rPr>
                <w:sz w:val="14"/>
                <w:szCs w:val="14"/>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7"/>
              </w:rPr>
              <w:t>Transit Segment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160"/>
              <w:spacing w:after="0" w:line="162" w:lineRule="exact"/>
              <w:rPr>
                <w:sz w:val="20"/>
                <w:szCs w:val="20"/>
                <w:color w:val="auto"/>
              </w:rPr>
            </w:pPr>
            <w:r>
              <w:rPr>
                <w:rFonts w:ascii="Arial" w:cs="Arial" w:eastAsia="Arial" w:hAnsi="Arial"/>
                <w:sz w:val="16"/>
                <w:szCs w:val="16"/>
                <w:b w:val="1"/>
                <w:bCs w:val="1"/>
                <w:color w:val="auto"/>
                <w:w w:val="92"/>
              </w:rPr>
              <w:t>Activities and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14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to external customers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Intersegment sales/(elimination)</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(64.1)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sales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2,608.4</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4,363.5</w:t>
            </w:r>
          </w:p>
        </w:tc>
        <w:tc>
          <w:tcPr>
            <w:tcW w:w="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6"/>
                <w:szCs w:val="16"/>
                <w:color w:val="auto"/>
              </w:rPr>
              <w:t>Income (loss) from operations</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gridSpan w:val="2"/>
            <w:vMerge w:val="continue"/>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(53.4)</w:t>
            </w:r>
          </w:p>
        </w:tc>
        <w:tc>
          <w:tcPr>
            <w:tcW w:w="60" w:type="dxa"/>
            <w:vAlign w:val="bottom"/>
          </w:tcPr>
          <w:p>
            <w:pPr>
              <w:spacing w:after="0"/>
              <w:rPr>
                <w:sz w:val="16"/>
                <w:szCs w:val="16"/>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and other, net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tcPr>
          <w:p>
            <w:pPr>
              <w:ind w:left="46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(159.2)</w:t>
            </w:r>
          </w:p>
        </w:tc>
        <w:tc>
          <w:tcPr>
            <w:tcW w:w="6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83" w:name="page84"/>
    <w:bookmarkEnd w:id="83"/>
    <w:p>
      <w:pPr>
        <w:ind w:right="480" w:firstLine="486"/>
        <w:spacing w:after="0" w:line="263" w:lineRule="auto"/>
        <w:rPr>
          <w:sz w:val="20"/>
          <w:szCs w:val="20"/>
          <w:color w:val="auto"/>
        </w:rPr>
      </w:pPr>
      <w:r>
        <w:rPr>
          <w:rFonts w:ascii="Arial" w:cs="Arial" w:eastAsia="Arial" w:hAnsi="Arial"/>
          <w:sz w:val="18"/>
          <w:szCs w:val="18"/>
          <w:color w:val="auto"/>
        </w:rPr>
        <w:t>The following geographic area data as of and for the years ended December 31, 2020, 2019 and 2018, respectively, includes net sales based on product shipment destination and long-lived assets, which consist of plant, property and equipment, net of depreciation, resident in their respective countries: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Net Sales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Long-Lived Assets</w:t>
            </w:r>
          </w:p>
        </w:tc>
      </w:tr>
      <w:tr>
        <w:trPr>
          <w:trHeight w:val="172"/>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4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1,089.8</w:t>
            </w: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Mexico</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07"/>
        </w:trPr>
        <w:tc>
          <w:tcPr>
            <w:tcW w:w="2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North 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1,126.7</w:t>
            </w:r>
          </w:p>
        </w:tc>
      </w:tr>
      <w:tr>
        <w:trPr>
          <w:trHeight w:val="131"/>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South America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151"/>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Arial" w:cs="Arial" w:eastAsia="Arial" w:hAnsi="Arial"/>
                <w:sz w:val="16"/>
                <w:szCs w:val="16"/>
                <w:color w:val="auto"/>
              </w:rPr>
              <w:t>United Kingdom</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Germany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Arial" w:cs="Arial" w:eastAsia="Arial" w:hAnsi="Arial"/>
                <w:sz w:val="16"/>
                <w:szCs w:val="16"/>
                <w:color w:val="auto"/>
              </w:rPr>
              <w:t>France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Italy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Arial" w:cs="Arial" w:eastAsia="Arial" w:hAnsi="Arial"/>
                <w:sz w:val="16"/>
                <w:szCs w:val="16"/>
                <w:color w:val="auto"/>
              </w:rPr>
              <w:t>Switzerland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Europe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r>
      <w:tr>
        <w:trPr>
          <w:trHeight w:val="207"/>
        </w:trPr>
        <w:tc>
          <w:tcPr>
            <w:tcW w:w="2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Europe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w:t>
            </w:r>
          </w:p>
        </w:tc>
      </w:tr>
      <w:tr>
        <w:trPr>
          <w:trHeight w:val="132"/>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India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159.2</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Australia / New Zealand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China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152"/>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Other Asia / Middle East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151"/>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Egypt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Africa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Russia / CIS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48"/>
        </w:trPr>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8,200.0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sales by product line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Freight Segment: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Arial" w:cs="Arial" w:eastAsia="Arial" w:hAnsi="Arial"/>
                <w:sz w:val="16"/>
                <w:szCs w:val="16"/>
                <w:color w:val="auto"/>
              </w:rPr>
              <w:t>Equipment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1,699.7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Components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1,169.1</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Arial" w:cs="Arial" w:eastAsia="Arial" w:hAnsi="Arial"/>
                <w:sz w:val="16"/>
                <w:szCs w:val="16"/>
                <w:color w:val="auto"/>
              </w:rPr>
              <w:t>Digital Electronics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474.1</w:t>
            </w:r>
          </w:p>
        </w:tc>
      </w:tr>
      <w:tr>
        <w:trPr>
          <w:trHeight w:val="216"/>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Arial" w:cs="Arial" w:eastAsia="Arial" w:hAnsi="Arial"/>
                <w:sz w:val="16"/>
                <w:szCs w:val="16"/>
                <w:color w:val="auto"/>
              </w:rPr>
              <w:t>Total Freight Segment sales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Transit Segment: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Original Equipment Manufacturer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1,194.0</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Aftermarket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Transit Segment sales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21.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net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For the year ended December 31,</w:t>
            </w:r>
          </w:p>
        </w:tc>
        <w:tc>
          <w:tcPr>
            <w:tcW w:w="10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7"/>
              </w:rPr>
              <w:t>(5.7)</w:t>
            </w:r>
          </w:p>
        </w:tc>
      </w:tr>
      <w:tr>
        <w:trPr>
          <w:trHeight w:val="213"/>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Equity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left="659"/>
              <w:spacing w:after="0"/>
              <w:rPr>
                <w:sz w:val="20"/>
                <w:szCs w:val="20"/>
                <w:color w:val="auto"/>
              </w:rPr>
            </w:pPr>
            <w:r>
              <w:rPr>
                <w:rFonts w:ascii="Arial" w:cs="Arial" w:eastAsia="Arial" w:hAnsi="Arial"/>
                <w:sz w:val="16"/>
                <w:szCs w:val="16"/>
                <w:color w:val="auto"/>
                <w:w w:val="89"/>
              </w:rPr>
              <w:t>1.9</w:t>
            </w:r>
          </w:p>
        </w:tc>
      </w:tr>
      <w:tr>
        <w:trPr>
          <w:trHeight w:val="21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return on pension assets/amortization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w w:val="89"/>
              </w:rPr>
              <w:t>9.0</w:t>
            </w:r>
          </w:p>
        </w:tc>
      </w:tr>
      <w:tr>
        <w:trPr>
          <w:trHeight w:val="213"/>
        </w:trPr>
        <w:tc>
          <w:tcPr>
            <w:tcW w:w="2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miscellaneous (expense)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89"/>
              </w:rPr>
              <w:t>1.2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89"/>
              </w:rPr>
              <w:t>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40" w:type="dxa"/>
            <w:vAlign w:val="bottom"/>
            <w:gridSpan w:val="10"/>
          </w:tcPr>
          <w:p>
            <w:pPr>
              <w:jc w:val="center"/>
              <w:ind w:left="295"/>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40" w:type="dxa"/>
            <w:vAlign w:val="bottom"/>
            <w:gridSpan w:val="10"/>
          </w:tcPr>
          <w:p>
            <w:pPr>
              <w:jc w:val="center"/>
              <w:ind w:left="275"/>
              <w:spacing w:after="0"/>
              <w:rPr>
                <w:sz w:val="20"/>
                <w:szCs w:val="20"/>
                <w:color w:val="auto"/>
              </w:rPr>
            </w:pPr>
            <w:r>
              <w:rPr>
                <w:rFonts w:ascii="Arial" w:cs="Arial" w:eastAsia="Arial" w:hAnsi="Arial"/>
                <w:sz w:val="18"/>
                <w:szCs w:val="18"/>
                <w:b w:val="1"/>
                <w:bCs w:val="1"/>
                <w:color w:val="auto"/>
              </w:rPr>
              <w:t>VALUATION AND QUALIFYING ACCOUNTS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40" w:type="dxa"/>
            <w:vAlign w:val="bottom"/>
            <w:gridSpan w:val="10"/>
          </w:tcPr>
          <w:p>
            <w:pPr>
              <w:jc w:val="center"/>
              <w:ind w:left="235"/>
              <w:spacing w:after="0"/>
              <w:rPr>
                <w:sz w:val="20"/>
                <w:szCs w:val="20"/>
                <w:color w:val="auto"/>
              </w:rPr>
            </w:pPr>
            <w:r>
              <w:rPr>
                <w:rFonts w:ascii="Arial" w:cs="Arial" w:eastAsia="Arial" w:hAnsi="Arial"/>
                <w:sz w:val="18"/>
                <w:szCs w:val="18"/>
                <w:b w:val="1"/>
                <w:bCs w:val="1"/>
                <w:color w:val="auto"/>
                <w:w w:val="88"/>
              </w:rPr>
              <w:t>For each of the three years ended December 31</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Charged/</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Charged/</w:t>
            </w:r>
          </w:p>
        </w:tc>
        <w:tc>
          <w:tcPr>
            <w:tcW w:w="200" w:type="dxa"/>
            <w:vAlign w:val="bottom"/>
          </w:tcPr>
          <w:p>
            <w:pPr>
              <w:spacing w:after="0"/>
              <w:rPr>
                <w:sz w:val="16"/>
                <w:szCs w:val="16"/>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Deductions</w:t>
            </w:r>
          </w:p>
        </w:tc>
        <w:tc>
          <w:tcPr>
            <w:tcW w:w="16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Balance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(credited) to</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beginning</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(credited) to</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from</w:t>
            </w:r>
          </w:p>
        </w:tc>
        <w:tc>
          <w:tcPr>
            <w:tcW w:w="16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at end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0"/>
              </w:rPr>
              <w:t>of period</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4"/>
              </w:rPr>
              <w:t>expense</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9"/>
              </w:rPr>
              <w:t>accounts (1)</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9"/>
              </w:rPr>
              <w:t>reserves (2)</w:t>
            </w:r>
          </w:p>
        </w:tc>
        <w:tc>
          <w:tcPr>
            <w:tcW w:w="160" w:type="dxa"/>
            <w:vAlign w:val="bottom"/>
          </w:tcPr>
          <w:p>
            <w:pPr>
              <w:spacing w:after="0"/>
              <w:rPr>
                <w:sz w:val="15"/>
                <w:szCs w:val="15"/>
                <w:color w:val="auto"/>
              </w:rPr>
            </w:pPr>
          </w:p>
        </w:tc>
        <w:tc>
          <w:tcPr>
            <w:tcW w:w="12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1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allowance-taxes</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2019</w:t>
            </w: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for doubtful accounts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Valuation allowance-taxes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2018</w:t>
            </w:r>
          </w:p>
        </w:tc>
        <w:tc>
          <w:tcPr>
            <w:tcW w:w="18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1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allowance-taxes</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20" w:right="260" w:hanging="329"/>
        <w:spacing w:after="0" w:line="258" w:lineRule="auto"/>
        <w:tabs>
          <w:tab w:leader="none" w:pos="6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Reserves of acquired/(sold) companies; valuation allowances for state and foreign deferred tax assets; impact of fluctuations in foreign currency exchange rates.</w:t>
      </w:r>
    </w:p>
    <w:p>
      <w:pPr>
        <w:spacing w:after="0" w:line="1" w:lineRule="exact"/>
        <w:rPr>
          <w:rFonts w:ascii="Arial" w:cs="Arial" w:eastAsia="Arial" w:hAnsi="Arial"/>
          <w:sz w:val="18"/>
          <w:szCs w:val="18"/>
          <w:color w:val="auto"/>
        </w:rPr>
      </w:pPr>
    </w:p>
    <w:p>
      <w:pPr>
        <w:ind w:left="600" w:hanging="309"/>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disbursements and/or charges.</w:t>
      </w:r>
    </w:p>
    <w:p>
      <w:pPr>
        <w:spacing w:after="0" w:line="274"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WESTINGHOUSE AIR BRAKE</w:t>
      </w:r>
    </w:p>
    <w:p>
      <w:pPr>
        <w:ind w:left="5660"/>
        <w:spacing w:after="0"/>
        <w:rPr>
          <w:sz w:val="20"/>
          <w:szCs w:val="20"/>
          <w:color w:val="auto"/>
        </w:rPr>
      </w:pPr>
      <w:r>
        <w:rPr>
          <w:rFonts w:ascii="Arial" w:cs="Arial" w:eastAsia="Arial" w:hAnsi="Arial"/>
          <w:sz w:val="18"/>
          <w:szCs w:val="18"/>
          <w:color w:val="auto"/>
        </w:rPr>
        <w:t>TECHNOLOGIES CORPORATION</w:t>
      </w:r>
    </w:p>
    <w:p>
      <w:pPr>
        <w:spacing w:after="0" w:line="236" w:lineRule="exact"/>
        <w:rPr>
          <w:sz w:val="20"/>
          <w:szCs w:val="20"/>
          <w:color w:val="auto"/>
        </w:rPr>
      </w:pPr>
    </w:p>
    <w:p>
      <w:pPr>
        <w:ind w:left="20"/>
        <w:spacing w:after="0"/>
        <w:tabs>
          <w:tab w:leader="none" w:pos="720" w:val="left"/>
          <w:tab w:leader="none" w:pos="5960" w:val="left"/>
          <w:tab w:leader="none" w:pos="774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57785</wp:posOffset>
            </wp:positionV>
            <wp:extent cx="31375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5"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Rafael Santana,</w:t>
      </w:r>
    </w:p>
    <w:p>
      <w:pPr>
        <w:spacing w:after="0" w:line="28"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President and Chief Executive Officer, and Director</w:t>
      </w:r>
    </w:p>
    <w:p>
      <w:pPr>
        <w:spacing w:after="0" w:line="23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340" w:type="dxa"/>
            <w:vAlign w:val="bottom"/>
            <w:gridSpan w:val="2"/>
          </w:tcPr>
          <w:p>
            <w:pPr>
              <w:jc w:val="center"/>
              <w:ind w:right="1764"/>
              <w:spacing w:after="0"/>
              <w:rPr>
                <w:sz w:val="20"/>
                <w:szCs w:val="20"/>
                <w:color w:val="auto"/>
              </w:rPr>
            </w:pPr>
            <w:r>
              <w:rPr>
                <w:rFonts w:ascii="Arial" w:cs="Arial" w:eastAsia="Arial" w:hAnsi="Arial"/>
                <w:sz w:val="14"/>
                <w:szCs w:val="14"/>
                <w:b w:val="1"/>
                <w:bCs w:val="1"/>
                <w:color w:val="auto"/>
                <w:w w:val="93"/>
              </w:rPr>
              <w:t>Signature and Title</w:t>
            </w:r>
          </w:p>
        </w:tc>
        <w:tc>
          <w:tcPr>
            <w:tcW w:w="5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80"/>
        </w:trPr>
        <w:tc>
          <w:tcPr>
            <w:tcW w:w="1020" w:type="dxa"/>
            <w:vAlign w:val="bottom"/>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gridSpan w:val="2"/>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ind w:left="16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40" w:type="dxa"/>
            <w:vAlign w:val="bottom"/>
            <w:gridSpan w:val="2"/>
          </w:tcPr>
          <w:p>
            <w:pPr>
              <w:jc w:val="center"/>
              <w:ind w:right="1424"/>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LBERT</w:t>
            </w:r>
            <w:r>
              <w:rPr>
                <w:rFonts w:ascii="Arial" w:cs="Arial" w:eastAsia="Arial" w:hAnsi="Arial"/>
                <w:sz w:val="18"/>
                <w:szCs w:val="18"/>
                <w:color w:val="auto"/>
                <w:w w:val="96"/>
              </w:rPr>
              <w:t xml:space="preserve"> J. N</w:t>
            </w:r>
            <w:r>
              <w:rPr>
                <w:rFonts w:ascii="Arial" w:cs="Arial" w:eastAsia="Arial" w:hAnsi="Arial"/>
                <w:sz w:val="14"/>
                <w:szCs w:val="14"/>
                <w:color w:val="auto"/>
                <w:w w:val="96"/>
              </w:rPr>
              <w:t>EUPAVER</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340" w:type="dxa"/>
            <w:vAlign w:val="bottom"/>
            <w:gridSpan w:val="2"/>
          </w:tcPr>
          <w:p>
            <w:pPr>
              <w:jc w:val="center"/>
              <w:ind w:right="1784"/>
              <w:spacing w:after="0" w:line="129" w:lineRule="exact"/>
              <w:rPr>
                <w:sz w:val="20"/>
                <w:szCs w:val="20"/>
                <w:color w:val="auto"/>
              </w:rPr>
            </w:pPr>
            <w:r>
              <w:rPr>
                <w:rFonts w:ascii="Arial" w:cs="Arial" w:eastAsia="Arial" w:hAnsi="Arial"/>
                <w:sz w:val="14"/>
                <w:szCs w:val="14"/>
                <w:b w:val="1"/>
                <w:bCs w:val="1"/>
                <w:color w:val="auto"/>
                <w:w w:val="94"/>
              </w:rPr>
              <w:t>Albert J. Neupaver,</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340" w:type="dxa"/>
            <w:vAlign w:val="bottom"/>
            <w:gridSpan w:val="2"/>
          </w:tcPr>
          <w:p>
            <w:pPr>
              <w:jc w:val="center"/>
              <w:ind w:right="1784"/>
              <w:spacing w:after="0"/>
              <w:rPr>
                <w:sz w:val="20"/>
                <w:szCs w:val="20"/>
                <w:color w:val="auto"/>
              </w:rPr>
            </w:pPr>
            <w:r>
              <w:rPr>
                <w:rFonts w:ascii="Arial" w:cs="Arial" w:eastAsia="Arial" w:hAnsi="Arial"/>
                <w:sz w:val="14"/>
                <w:szCs w:val="14"/>
                <w:b w:val="1"/>
                <w:bCs w:val="1"/>
                <w:color w:val="auto"/>
                <w:w w:val="95"/>
              </w:rPr>
              <w:t>Chairman of the Board</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60" w:type="dxa"/>
            <w:vAlign w:val="bottom"/>
          </w:tcPr>
          <w:p>
            <w:pPr>
              <w:jc w:val="center"/>
              <w:ind w:right="1604"/>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w:t>
            </w:r>
            <w:r>
              <w:rPr>
                <w:rFonts w:ascii="Arial" w:cs="Arial" w:eastAsia="Arial" w:hAnsi="Arial"/>
                <w:sz w:val="18"/>
                <w:szCs w:val="18"/>
                <w:color w:val="auto"/>
              </w:rPr>
              <w:t xml:space="preserve"> S</w:t>
            </w:r>
            <w:r>
              <w:rPr>
                <w:rFonts w:ascii="Arial" w:cs="Arial" w:eastAsia="Arial" w:hAnsi="Arial"/>
                <w:sz w:val="14"/>
                <w:szCs w:val="14"/>
                <w:color w:val="auto"/>
              </w:rPr>
              <w:t>ANTANA</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60" w:type="dxa"/>
            <w:vAlign w:val="bottom"/>
          </w:tcPr>
          <w:p>
            <w:pPr>
              <w:jc w:val="center"/>
              <w:ind w:right="1944"/>
              <w:spacing w:after="0" w:line="129" w:lineRule="exact"/>
              <w:rPr>
                <w:sz w:val="20"/>
                <w:szCs w:val="20"/>
                <w:color w:val="auto"/>
              </w:rPr>
            </w:pPr>
            <w:r>
              <w:rPr>
                <w:rFonts w:ascii="Arial" w:cs="Arial" w:eastAsia="Arial" w:hAnsi="Arial"/>
                <w:sz w:val="14"/>
                <w:szCs w:val="14"/>
                <w:b w:val="1"/>
                <w:bCs w:val="1"/>
                <w:color w:val="auto"/>
                <w:w w:val="93"/>
              </w:rPr>
              <w:t>Rafael Santana</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President and Chief Executive Officer and Director (Principal Executive Officer)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gridSpan w:val="2"/>
          </w:tcPr>
          <w:p>
            <w:pPr>
              <w:jc w:val="center"/>
              <w:ind w:right="1704"/>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ATRICK</w:t>
            </w:r>
            <w:r>
              <w:rPr>
                <w:rFonts w:ascii="Arial" w:cs="Arial" w:eastAsia="Arial" w:hAnsi="Arial"/>
                <w:sz w:val="18"/>
                <w:szCs w:val="18"/>
                <w:color w:val="auto"/>
                <w:w w:val="99"/>
              </w:rPr>
              <w:t xml:space="preserve"> D. D</w:t>
            </w:r>
            <w:r>
              <w:rPr>
                <w:rFonts w:ascii="Arial" w:cs="Arial" w:eastAsia="Arial" w:hAnsi="Arial"/>
                <w:sz w:val="14"/>
                <w:szCs w:val="14"/>
                <w:color w:val="auto"/>
                <w:w w:val="99"/>
              </w:rPr>
              <w:t>UGAN</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60" w:type="dxa"/>
            <w:vAlign w:val="bottom"/>
          </w:tcPr>
          <w:p>
            <w:pPr>
              <w:jc w:val="center"/>
              <w:ind w:right="1944"/>
              <w:spacing w:after="0" w:line="129" w:lineRule="exact"/>
              <w:rPr>
                <w:sz w:val="20"/>
                <w:szCs w:val="20"/>
                <w:color w:val="auto"/>
              </w:rPr>
            </w:pPr>
            <w:r>
              <w:rPr>
                <w:rFonts w:ascii="Arial" w:cs="Arial" w:eastAsia="Arial" w:hAnsi="Arial"/>
                <w:sz w:val="14"/>
                <w:szCs w:val="14"/>
                <w:b w:val="1"/>
                <w:bCs w:val="1"/>
                <w:color w:val="auto"/>
                <w:w w:val="94"/>
              </w:rPr>
              <w:t>Patrick D. Dugan,</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5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Executive Vice President Finance and Chief Financial Officer (Principal Financial</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jc w:val="center"/>
              <w:ind w:right="1964"/>
              <w:spacing w:after="0"/>
              <w:rPr>
                <w:sz w:val="20"/>
                <w:szCs w:val="20"/>
                <w:color w:val="auto"/>
              </w:rPr>
            </w:pPr>
            <w:r>
              <w:rPr>
                <w:rFonts w:ascii="Arial" w:cs="Arial" w:eastAsia="Arial" w:hAnsi="Arial"/>
                <w:sz w:val="14"/>
                <w:szCs w:val="14"/>
                <w:b w:val="1"/>
                <w:bCs w:val="1"/>
                <w:color w:val="auto"/>
                <w:w w:val="96"/>
              </w:rPr>
              <w:t>Officer)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gridSpan w:val="2"/>
          </w:tcPr>
          <w:p>
            <w:pPr>
              <w:jc w:val="center"/>
              <w:ind w:right="1704"/>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A. M</w:t>
            </w:r>
            <w:r>
              <w:rPr>
                <w:rFonts w:ascii="Arial" w:cs="Arial" w:eastAsia="Arial" w:hAnsi="Arial"/>
                <w:sz w:val="14"/>
                <w:szCs w:val="14"/>
                <w:color w:val="auto"/>
                <w:w w:val="98"/>
              </w:rPr>
              <w:t>ASTALERZ</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340" w:type="dxa"/>
            <w:vAlign w:val="bottom"/>
            <w:gridSpan w:val="2"/>
          </w:tcPr>
          <w:p>
            <w:pPr>
              <w:jc w:val="center"/>
              <w:ind w:right="1784"/>
              <w:spacing w:after="0" w:line="129" w:lineRule="exact"/>
              <w:rPr>
                <w:sz w:val="20"/>
                <w:szCs w:val="20"/>
                <w:color w:val="auto"/>
              </w:rPr>
            </w:pPr>
            <w:r>
              <w:rPr>
                <w:rFonts w:ascii="Arial" w:cs="Arial" w:eastAsia="Arial" w:hAnsi="Arial"/>
                <w:sz w:val="14"/>
                <w:szCs w:val="14"/>
                <w:b w:val="1"/>
                <w:bCs w:val="1"/>
                <w:color w:val="auto"/>
                <w:w w:val="94"/>
              </w:rPr>
              <w:t>John A. Mastalerz,</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Senior Vice President and Principal Accounting Officer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E. K</w:t>
            </w:r>
            <w:r>
              <w:rPr>
                <w:rFonts w:ascii="Arial" w:cs="Arial" w:eastAsia="Arial" w:hAnsi="Arial"/>
                <w:sz w:val="14"/>
                <w:szCs w:val="14"/>
                <w:color w:val="auto"/>
              </w:rPr>
              <w:t>ASSLING</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340" w:type="dxa"/>
            <w:vAlign w:val="bottom"/>
            <w:gridSpan w:val="2"/>
          </w:tcPr>
          <w:p>
            <w:pPr>
              <w:jc w:val="center"/>
              <w:ind w:right="1764"/>
              <w:spacing w:after="0" w:line="129" w:lineRule="exact"/>
              <w:rPr>
                <w:sz w:val="20"/>
                <w:szCs w:val="20"/>
                <w:color w:val="auto"/>
              </w:rPr>
            </w:pPr>
            <w:r>
              <w:rPr>
                <w:rFonts w:ascii="Arial" w:cs="Arial" w:eastAsia="Arial" w:hAnsi="Arial"/>
                <w:sz w:val="14"/>
                <w:szCs w:val="14"/>
                <w:b w:val="1"/>
                <w:bCs w:val="1"/>
                <w:color w:val="auto"/>
                <w:w w:val="95"/>
              </w:rPr>
              <w:t>William E. Kassling,</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jc w:val="center"/>
              <w:ind w:right="1944"/>
              <w:spacing w:after="0"/>
              <w:rPr>
                <w:sz w:val="20"/>
                <w:szCs w:val="20"/>
                <w:color w:val="auto"/>
              </w:rPr>
            </w:pPr>
            <w:r>
              <w:rPr>
                <w:rFonts w:ascii="Arial" w:cs="Arial" w:eastAsia="Arial" w:hAnsi="Arial"/>
                <w:sz w:val="14"/>
                <w:szCs w:val="14"/>
                <w:b w:val="1"/>
                <w:bCs w:val="1"/>
                <w:color w:val="auto"/>
                <w:w w:val="95"/>
              </w:rPr>
              <w:t>Lead Director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60" w:type="dxa"/>
            <w:vAlign w:val="bottom"/>
          </w:tcPr>
          <w:p>
            <w:pPr>
              <w:jc w:val="center"/>
              <w:ind w:right="1884"/>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EE</w:t>
            </w:r>
            <w:r>
              <w:rPr>
                <w:rFonts w:ascii="Arial" w:cs="Arial" w:eastAsia="Arial" w:hAnsi="Arial"/>
                <w:sz w:val="18"/>
                <w:szCs w:val="18"/>
                <w:color w:val="auto"/>
              </w:rPr>
              <w:t xml:space="preserve"> B</w:t>
            </w:r>
            <w:r>
              <w:rPr>
                <w:rFonts w:ascii="Arial" w:cs="Arial" w:eastAsia="Arial" w:hAnsi="Arial"/>
                <w:sz w:val="14"/>
                <w:szCs w:val="14"/>
                <w:color w:val="auto"/>
              </w:rPr>
              <w:t>ANKS</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60" w:type="dxa"/>
            <w:vAlign w:val="bottom"/>
          </w:tcPr>
          <w:p>
            <w:pPr>
              <w:jc w:val="center"/>
              <w:ind w:right="1964"/>
              <w:spacing w:after="0" w:line="129" w:lineRule="exact"/>
              <w:rPr>
                <w:sz w:val="20"/>
                <w:szCs w:val="20"/>
                <w:color w:val="auto"/>
              </w:rPr>
            </w:pPr>
            <w:r>
              <w:rPr>
                <w:rFonts w:ascii="Arial" w:cs="Arial" w:eastAsia="Arial" w:hAnsi="Arial"/>
                <w:sz w:val="14"/>
                <w:szCs w:val="14"/>
                <w:b w:val="1"/>
                <w:bCs w:val="1"/>
                <w:color w:val="auto"/>
                <w:w w:val="91"/>
              </w:rPr>
              <w:t>Lee Banks,</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jc w:val="center"/>
              <w:ind w:right="1964"/>
              <w:spacing w:after="0"/>
              <w:rPr>
                <w:sz w:val="20"/>
                <w:szCs w:val="20"/>
                <w:color w:val="auto"/>
              </w:rPr>
            </w:pPr>
            <w:r>
              <w:rPr>
                <w:rFonts w:ascii="Arial" w:cs="Arial" w:eastAsia="Arial" w:hAnsi="Arial"/>
                <w:sz w:val="14"/>
                <w:szCs w:val="14"/>
                <w:b w:val="1"/>
                <w:bCs w:val="1"/>
                <w:color w:val="auto"/>
                <w:w w:val="96"/>
              </w:rPr>
              <w:t>Director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gridSpan w:val="2"/>
          </w:tcPr>
          <w:p>
            <w:pPr>
              <w:jc w:val="center"/>
              <w:ind w:right="1684"/>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RWAN</w:t>
            </w:r>
            <w:r>
              <w:rPr>
                <w:rFonts w:ascii="Arial" w:cs="Arial" w:eastAsia="Arial" w:hAnsi="Arial"/>
                <w:sz w:val="18"/>
                <w:szCs w:val="18"/>
                <w:color w:val="auto"/>
              </w:rPr>
              <w:t xml:space="preserve"> F</w:t>
            </w:r>
            <w:r>
              <w:rPr>
                <w:rFonts w:ascii="Arial" w:cs="Arial" w:eastAsia="Arial" w:hAnsi="Arial"/>
                <w:sz w:val="14"/>
                <w:szCs w:val="14"/>
                <w:color w:val="auto"/>
              </w:rPr>
              <w:t>AIVELEY</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60" w:type="dxa"/>
            <w:vAlign w:val="bottom"/>
          </w:tcPr>
          <w:p>
            <w:pPr>
              <w:jc w:val="center"/>
              <w:ind w:right="1944"/>
              <w:spacing w:after="0" w:line="129" w:lineRule="exact"/>
              <w:rPr>
                <w:sz w:val="20"/>
                <w:szCs w:val="20"/>
                <w:color w:val="auto"/>
              </w:rPr>
            </w:pPr>
            <w:r>
              <w:rPr>
                <w:rFonts w:ascii="Arial" w:cs="Arial" w:eastAsia="Arial" w:hAnsi="Arial"/>
                <w:sz w:val="14"/>
                <w:szCs w:val="14"/>
                <w:b w:val="1"/>
                <w:bCs w:val="1"/>
                <w:color w:val="auto"/>
                <w:w w:val="93"/>
              </w:rPr>
              <w:t>Erwan Faiveley,</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jc w:val="center"/>
              <w:ind w:right="1964"/>
              <w:spacing w:after="0"/>
              <w:rPr>
                <w:sz w:val="20"/>
                <w:szCs w:val="20"/>
                <w:color w:val="auto"/>
              </w:rPr>
            </w:pPr>
            <w:r>
              <w:rPr>
                <w:rFonts w:ascii="Arial" w:cs="Arial" w:eastAsia="Arial" w:hAnsi="Arial"/>
                <w:sz w:val="14"/>
                <w:szCs w:val="14"/>
                <w:b w:val="1"/>
                <w:bCs w:val="1"/>
                <w:color w:val="auto"/>
                <w:w w:val="96"/>
              </w:rPr>
              <w:t>Director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gridSpan w:val="2"/>
          </w:tcPr>
          <w:p>
            <w:pPr>
              <w:jc w:val="center"/>
              <w:ind w:right="1764"/>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B. F</w:t>
            </w:r>
            <w:r>
              <w:rPr>
                <w:rFonts w:ascii="Arial" w:cs="Arial" w:eastAsia="Arial" w:hAnsi="Arial"/>
                <w:sz w:val="14"/>
                <w:szCs w:val="14"/>
                <w:color w:val="auto"/>
                <w:w w:val="96"/>
              </w:rPr>
              <w:t>OSTER</w:t>
            </w:r>
            <w:r>
              <w:rPr>
                <w:rFonts w:ascii="Arial" w:cs="Arial" w:eastAsia="Arial" w:hAnsi="Arial"/>
                <w:sz w:val="18"/>
                <w:szCs w:val="18"/>
                <w:color w:val="auto"/>
                <w:w w:val="96"/>
              </w:rPr>
              <w:t>, II</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60" w:type="dxa"/>
            <w:vAlign w:val="bottom"/>
          </w:tcPr>
          <w:p>
            <w:pPr>
              <w:jc w:val="center"/>
              <w:ind w:right="1944"/>
              <w:spacing w:after="0" w:line="129" w:lineRule="exact"/>
              <w:rPr>
                <w:sz w:val="20"/>
                <w:szCs w:val="20"/>
                <w:color w:val="auto"/>
              </w:rPr>
            </w:pPr>
            <w:r>
              <w:rPr>
                <w:rFonts w:ascii="Arial" w:cs="Arial" w:eastAsia="Arial" w:hAnsi="Arial"/>
                <w:sz w:val="14"/>
                <w:szCs w:val="14"/>
                <w:b w:val="1"/>
                <w:bCs w:val="1"/>
                <w:color w:val="auto"/>
                <w:w w:val="94"/>
              </w:rPr>
              <w:t>Lee B. Foster, II,</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jc w:val="center"/>
              <w:ind w:right="1964"/>
              <w:spacing w:after="0"/>
              <w:rPr>
                <w:sz w:val="20"/>
                <w:szCs w:val="20"/>
                <w:color w:val="auto"/>
              </w:rPr>
            </w:pPr>
            <w:r>
              <w:rPr>
                <w:rFonts w:ascii="Arial" w:cs="Arial" w:eastAsia="Arial" w:hAnsi="Arial"/>
                <w:sz w:val="14"/>
                <w:szCs w:val="14"/>
                <w:b w:val="1"/>
                <w:bCs w:val="1"/>
                <w:color w:val="auto"/>
                <w:w w:val="96"/>
              </w:rPr>
              <w:t>Director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60" w:type="dxa"/>
            <w:vAlign w:val="bottom"/>
          </w:tcPr>
          <w:p>
            <w:pPr>
              <w:jc w:val="center"/>
              <w:ind w:right="1604"/>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A. H</w:t>
            </w:r>
            <w:r>
              <w:rPr>
                <w:rFonts w:ascii="Arial" w:cs="Arial" w:eastAsia="Arial" w:hAnsi="Arial"/>
                <w:sz w:val="14"/>
                <w:szCs w:val="14"/>
                <w:color w:val="auto"/>
              </w:rPr>
              <w:t>ARTY</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32918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jc w:val="center"/>
        <w:ind w:right="3980"/>
        <w:spacing w:after="0" w:line="231" w:lineRule="auto"/>
        <w:rPr>
          <w:sz w:val="20"/>
          <w:szCs w:val="20"/>
          <w:color w:val="auto"/>
        </w:rPr>
      </w:pPr>
      <w:r>
        <w:rPr>
          <w:rFonts w:ascii="Arial" w:cs="Arial" w:eastAsia="Arial" w:hAnsi="Arial"/>
          <w:sz w:val="14"/>
          <w:szCs w:val="14"/>
          <w:b w:val="1"/>
          <w:bCs w:val="1"/>
          <w:color w:val="auto"/>
        </w:rPr>
        <w:t>Linda A. Harty,</w:t>
      </w:r>
    </w:p>
    <w:p>
      <w:pPr>
        <w:jc w:val="center"/>
        <w:ind w:right="398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0" w:type="dxa"/>
            <w:vAlign w:val="bottom"/>
          </w:tcPr>
          <w:p>
            <w:pPr>
              <w:jc w:val="center"/>
              <w:ind w:right="1902"/>
              <w:spacing w:after="0"/>
              <w:rPr>
                <w:sz w:val="20"/>
                <w:szCs w:val="20"/>
                <w:color w:val="auto"/>
              </w:rPr>
            </w:pPr>
            <w:r>
              <w:rPr>
                <w:rFonts w:ascii="Arial" w:cs="Arial" w:eastAsia="Arial" w:hAnsi="Arial"/>
                <w:sz w:val="14"/>
                <w:szCs w:val="14"/>
                <w:b w:val="1"/>
                <w:bCs w:val="1"/>
                <w:color w:val="auto"/>
                <w:w w:val="93"/>
              </w:rPr>
              <w:t>Signature and Title</w:t>
            </w:r>
          </w:p>
        </w:tc>
        <w:tc>
          <w:tcPr>
            <w:tcW w:w="5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80"/>
        </w:trPr>
        <w:tc>
          <w:tcPr>
            <w:tcW w:w="1020" w:type="dxa"/>
            <w:vAlign w:val="bottom"/>
            <w:vMerge w:val="restart"/>
          </w:tcPr>
          <w:p>
            <w:pPr>
              <w:spacing w:after="0"/>
              <w:rPr>
                <w:sz w:val="20"/>
                <w:szCs w:val="20"/>
                <w:color w:val="auto"/>
              </w:rPr>
            </w:pPr>
            <w:r>
              <w:rPr>
                <w:rFonts w:ascii="Arial" w:cs="Arial" w:eastAsia="Arial" w:hAnsi="Arial"/>
                <w:sz w:val="18"/>
                <w:szCs w:val="18"/>
                <w:color w:val="auto"/>
              </w:rPr>
              <w:t>By</w:t>
            </w:r>
          </w:p>
        </w:tc>
        <w:tc>
          <w:tcPr>
            <w:tcW w:w="198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020" w:type="dxa"/>
            <w:vAlign w:val="bottom"/>
            <w:vMerge w:val="continue"/>
          </w:tcPr>
          <w:p>
            <w:pPr>
              <w:spacing w:after="0"/>
              <w:rPr>
                <w:sz w:val="19"/>
                <w:szCs w:val="19"/>
                <w:color w:val="auto"/>
              </w:rPr>
            </w:pPr>
          </w:p>
        </w:tc>
        <w:tc>
          <w:tcPr>
            <w:tcW w:w="198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Pr>
          <w:p>
            <w:pPr>
              <w:jc w:val="center"/>
              <w:ind w:right="1842"/>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P. H</w:t>
            </w:r>
            <w:r>
              <w:rPr>
                <w:rFonts w:ascii="Arial" w:cs="Arial" w:eastAsia="Arial" w:hAnsi="Arial"/>
                <w:sz w:val="14"/>
                <w:szCs w:val="14"/>
                <w:color w:val="auto"/>
                <w:w w:val="97"/>
              </w:rPr>
              <w:t>EHIR</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200" w:type="dxa"/>
            <w:vAlign w:val="bottom"/>
          </w:tcPr>
          <w:p>
            <w:pPr>
              <w:jc w:val="center"/>
              <w:ind w:right="1922"/>
              <w:spacing w:after="0" w:line="129" w:lineRule="exact"/>
              <w:rPr>
                <w:sz w:val="20"/>
                <w:szCs w:val="20"/>
                <w:color w:val="auto"/>
              </w:rPr>
            </w:pPr>
            <w:r>
              <w:rPr>
                <w:rFonts w:ascii="Arial" w:cs="Arial" w:eastAsia="Arial" w:hAnsi="Arial"/>
                <w:sz w:val="14"/>
                <w:szCs w:val="14"/>
                <w:b w:val="1"/>
                <w:bCs w:val="1"/>
                <w:color w:val="auto"/>
                <w:w w:val="95"/>
              </w:rPr>
              <w:t>Brian P. Hehir,</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0" w:type="dxa"/>
            <w:vAlign w:val="bottom"/>
          </w:tcPr>
          <w:p>
            <w:pPr>
              <w:jc w:val="center"/>
              <w:ind w:right="1922"/>
              <w:spacing w:after="0"/>
              <w:rPr>
                <w:sz w:val="20"/>
                <w:szCs w:val="20"/>
                <w:color w:val="auto"/>
              </w:rPr>
            </w:pPr>
            <w:r>
              <w:rPr>
                <w:rFonts w:ascii="Arial" w:cs="Arial" w:eastAsia="Arial" w:hAnsi="Arial"/>
                <w:sz w:val="14"/>
                <w:szCs w:val="14"/>
                <w:b w:val="1"/>
                <w:bCs w:val="1"/>
                <w:color w:val="auto"/>
                <w:w w:val="96"/>
              </w:rPr>
              <w:t>Director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W. D. H</w:t>
            </w:r>
            <w:r>
              <w:rPr>
                <w:rFonts w:ascii="Arial" w:cs="Arial" w:eastAsia="Arial" w:hAnsi="Arial"/>
                <w:sz w:val="14"/>
                <w:szCs w:val="14"/>
                <w:color w:val="auto"/>
              </w:rPr>
              <w:t>OWELL</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5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6"/>
              </w:rPr>
              <w:t>Michael W. D. Howell,</w:t>
            </w: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0" w:type="dxa"/>
            <w:vAlign w:val="bottom"/>
          </w:tcPr>
          <w:p>
            <w:pPr>
              <w:jc w:val="center"/>
              <w:ind w:right="1922"/>
              <w:spacing w:after="0"/>
              <w:rPr>
                <w:sz w:val="20"/>
                <w:szCs w:val="20"/>
                <w:color w:val="auto"/>
              </w:rPr>
            </w:pPr>
            <w:r>
              <w:rPr>
                <w:rFonts w:ascii="Arial" w:cs="Arial" w:eastAsia="Arial" w:hAnsi="Arial"/>
                <w:sz w:val="14"/>
                <w:szCs w:val="14"/>
                <w:b w:val="1"/>
                <w:bCs w:val="1"/>
                <w:color w:val="auto"/>
                <w:w w:val="96"/>
              </w:rPr>
              <w:t>Director</w:t>
            </w: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tcPr>
          <w:p>
            <w:pPr>
              <w:ind w:left="17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00" w:type="dxa"/>
            <w:vAlign w:val="bottom"/>
          </w:tcPr>
          <w:p>
            <w:pPr>
              <w:jc w:val="center"/>
              <w:ind w:right="184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w:t>
            </w:r>
            <w:r>
              <w:rPr>
                <w:rFonts w:ascii="Arial" w:cs="Arial" w:eastAsia="Arial" w:hAnsi="Arial"/>
                <w:sz w:val="18"/>
                <w:szCs w:val="18"/>
                <w:color w:val="auto"/>
              </w:rPr>
              <w:t xml:space="preserve"> R. K</w:t>
            </w:r>
            <w:r>
              <w:rPr>
                <w:rFonts w:ascii="Arial" w:cs="Arial" w:eastAsia="Arial" w:hAnsi="Arial"/>
                <w:sz w:val="14"/>
                <w:szCs w:val="14"/>
                <w:color w:val="auto"/>
              </w:rPr>
              <w:t>LEE</w:t>
            </w: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0</wp:posOffset>
            </wp:positionV>
            <wp:extent cx="32918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right="3980"/>
        <w:spacing w:after="0" w:line="231" w:lineRule="auto"/>
        <w:rPr>
          <w:sz w:val="20"/>
          <w:szCs w:val="20"/>
          <w:color w:val="auto"/>
        </w:rPr>
      </w:pPr>
      <w:r>
        <w:rPr>
          <w:rFonts w:ascii="Arial" w:cs="Arial" w:eastAsia="Arial" w:hAnsi="Arial"/>
          <w:sz w:val="14"/>
          <w:szCs w:val="14"/>
          <w:b w:val="1"/>
          <w:bCs w:val="1"/>
          <w:color w:val="auto"/>
        </w:rPr>
        <w:t>Ann R. Klee,</w:t>
      </w:r>
    </w:p>
    <w:p>
      <w:pPr>
        <w:jc w:val="center"/>
        <w:ind w:right="398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40" w:top="927" w:right="3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20"/>
          <w:szCs w:val="20"/>
          <w:b w:val="1"/>
          <w:bCs w:val="1"/>
          <w:color w:val="auto"/>
        </w:rPr>
        <w:t>TRANSITION AGREEMENT</w:t>
      </w:r>
    </w:p>
    <w:p>
      <w:pPr>
        <w:spacing w:after="0" w:line="127" w:lineRule="exact"/>
        <w:rPr>
          <w:sz w:val="20"/>
          <w:szCs w:val="20"/>
          <w:color w:val="auto"/>
        </w:rPr>
      </w:pPr>
    </w:p>
    <w:p>
      <w:pPr>
        <w:jc w:val="both"/>
        <w:ind w:right="240" w:firstLine="194"/>
        <w:spacing w:after="0" w:line="264" w:lineRule="auto"/>
        <w:rPr>
          <w:sz w:val="20"/>
          <w:szCs w:val="20"/>
          <w:color w:val="auto"/>
        </w:rPr>
      </w:pPr>
      <w:r>
        <w:rPr>
          <w:rFonts w:ascii="Arial" w:cs="Arial" w:eastAsia="Arial" w:hAnsi="Arial"/>
          <w:sz w:val="20"/>
          <w:szCs w:val="20"/>
          <w:color w:val="auto"/>
        </w:rPr>
        <w:t>This Transition Agreement (including the Exhibits attached hereto, this “</w:t>
      </w:r>
      <w:r>
        <w:rPr>
          <w:rFonts w:ascii="Arial" w:cs="Arial" w:eastAsia="Arial" w:hAnsi="Arial"/>
          <w:sz w:val="20"/>
          <w:szCs w:val="20"/>
          <w:u w:val="single" w:color="auto"/>
          <w:color w:val="auto"/>
        </w:rPr>
        <w:t>Transition Agreement</w:t>
      </w:r>
      <w:r>
        <w:rPr>
          <w:rFonts w:ascii="Arial" w:cs="Arial" w:eastAsia="Arial" w:hAnsi="Arial"/>
          <w:sz w:val="20"/>
          <w:szCs w:val="20"/>
          <w:color w:val="auto"/>
        </w:rPr>
        <w:t>”) is made and entered into on November 25, 2020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Scott E. Wahlstrom (“</w:t>
      </w:r>
      <w:r>
        <w:rPr>
          <w:rFonts w:ascii="Arial" w:cs="Arial" w:eastAsia="Arial" w:hAnsi="Arial"/>
          <w:sz w:val="20"/>
          <w:szCs w:val="20"/>
          <w:u w:val="single" w:color="auto"/>
          <w:color w:val="auto"/>
        </w:rPr>
        <w:t>Executive</w:t>
      </w:r>
      <w:r>
        <w:rPr>
          <w:rFonts w:ascii="Arial" w:cs="Arial" w:eastAsia="Arial" w:hAnsi="Arial"/>
          <w:sz w:val="20"/>
          <w:szCs w:val="20"/>
          <w:color w:val="auto"/>
        </w:rPr>
        <w:t>”) and Westinghouse Air Brake Technologies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73"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WHEREAS, Executive was previously employed by the Company as Executive Vice President and Chief Human Resources Officer, and Executive and the Company are parties to an Employment Continuation Agreement, dated as of June 30, 2009 (the “</w:t>
      </w: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WHEREAS, effective as of October 12, 2020, Executive resigned as Executive Vice President and Chief Human Resources Officer, and has continued his employment as Strategic Advisor to the Chief Executive Officer as of October 12, 2020;</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both Executive and the Company desire and intend to amicably sever the employment relationship between them;</w:t>
      </w: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WHEREAS, both Executive and the Company have read and understand the terms of this Transition Agreement, and both Executive and the Company have been provided with reasonable opportunities to consult with their respective legal counsel prior to entering into this Transition Agreement;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capitalized terms used and not defined herein shall have the meaning provided in the Employment Agreement.</w:t>
      </w:r>
    </w:p>
    <w:p>
      <w:pPr>
        <w:spacing w:after="0" w:line="22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promises and covenants set forth in this Transition Agreement, the Company and Executive agree as follows:</w:t>
      </w:r>
    </w:p>
    <w:p>
      <w:pPr>
        <w:spacing w:after="0" w:line="177" w:lineRule="exact"/>
        <w:rPr>
          <w:sz w:val="20"/>
          <w:szCs w:val="20"/>
          <w:color w:val="auto"/>
        </w:rPr>
      </w:pPr>
    </w:p>
    <w:p>
      <w:pPr>
        <w:ind w:left="1300" w:hanging="748"/>
        <w:spacing w:after="0"/>
        <w:tabs>
          <w:tab w:leader="none" w:pos="130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Executive’s employment with the Company will terminate effective as of December 31, 2020 (the</w:t>
      </w:r>
    </w:p>
    <w:p>
      <w:pPr>
        <w:spacing w:after="0" w:line="27" w:lineRule="exact"/>
        <w:rPr>
          <w:rFonts w:ascii="Arial" w:cs="Arial" w:eastAsia="Arial" w:hAnsi="Arial"/>
          <w:sz w:val="19"/>
          <w:szCs w:val="19"/>
          <w:color w:val="auto"/>
        </w:rPr>
      </w:pPr>
    </w:p>
    <w:p>
      <w:pPr>
        <w:ind w:left="1300"/>
        <w:spacing w:after="0" w:line="254"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Executive acknowledges that, effective as of October 12, 2020, Executive resigned from his position as Executive Vice President and Chief Human Resources Officer and has since been employed as Strategic Advisor to the Chief Executive Officer. While employed, Executive will continue to report directly to the Chief Executive Officer of the Company. Executive shall resign from his position as Strategic Advisor to the Chief Executive Officer as of the Date of Termination. On or prior to the Date of Termination, Executive shall also resign from all other positions Executive holds as an officer, director or employee of the Company or any of its subsidiaries and affiliates. Executive will promptly execute such documents and take such actions as may be necessary or reasonably requested by the Company or any of its subsidiaries or affiliates to effectuate or memorialize the resignation of such positions.</w:t>
      </w:r>
    </w:p>
    <w:p>
      <w:pPr>
        <w:spacing w:after="0" w:line="186" w:lineRule="exact"/>
        <w:rPr>
          <w:rFonts w:ascii="Arial" w:cs="Arial" w:eastAsia="Arial" w:hAnsi="Arial"/>
          <w:sz w:val="19"/>
          <w:szCs w:val="19"/>
          <w:color w:val="auto"/>
        </w:rPr>
      </w:pPr>
    </w:p>
    <w:p>
      <w:pPr>
        <w:ind w:left="1300" w:right="120" w:hanging="803"/>
        <w:spacing w:after="0" w:line="259" w:lineRule="auto"/>
        <w:tabs>
          <w:tab w:leader="none" w:pos="130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xml:space="preserve">. In consideration for Executive’s (i) execution of this Transition Agreement, (ii) continuing employment with the Company through the Date of Termination, (iii) execution, on the Date of Termination, of the release of claims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(iv) non-revocation of the Release, and (v) compliance with the post-employment restrictions set forth in Section 11 of the Employment Agreement, Executive will receive the payments and benefits as specified on the attached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subject to applicable tax withholding (collectively, the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Benefits</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the foregoing, if Executive dies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NAI-1514733217v7</w:t>
      </w:r>
    </w:p>
    <w:p>
      <w:pPr>
        <w:sectPr>
          <w:pgSz w:w="11900" w:h="16838" w:orient="portrait"/>
          <w:cols w:equalWidth="0" w:num="1">
            <w:col w:w="11240"/>
          </w:cols>
          <w:pgMar w:left="320" w:top="1426" w:right="339" w:bottom="1440" w:gutter="0" w:footer="0" w:header="0"/>
        </w:sectPr>
      </w:pPr>
    </w:p>
    <w:bookmarkStart w:id="89" w:name="page90"/>
    <w:bookmarkEnd w:id="89"/>
    <w:p>
      <w:pPr>
        <w:spacing w:after="0" w:line="189" w:lineRule="exact"/>
        <w:rPr>
          <w:sz w:val="20"/>
          <w:szCs w:val="20"/>
          <w:color w:val="auto"/>
        </w:rPr>
      </w:pPr>
    </w:p>
    <w:p>
      <w:pPr>
        <w:ind w:left="1100" w:right="20"/>
        <w:spacing w:after="0" w:line="272" w:lineRule="auto"/>
        <w:rPr>
          <w:sz w:val="20"/>
          <w:szCs w:val="20"/>
          <w:color w:val="auto"/>
        </w:rPr>
      </w:pPr>
      <w:r>
        <w:rPr>
          <w:rFonts w:ascii="Arial" w:cs="Arial" w:eastAsia="Arial" w:hAnsi="Arial"/>
          <w:sz w:val="18"/>
          <w:szCs w:val="18"/>
          <w:color w:val="auto"/>
        </w:rPr>
        <w:t xml:space="preserve">Date of Termination, the Severance Benefits shall vest and be paid pursuant to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to Executive’s surviving spouse or, if Executive has no surviving spouse, Executive’s estate, at the same time and in such amounts as otherwise would have been received by Executive; provided Executive’s surviving spouse or the executor of Executive’s estate, as applicable, executes, and does not revoke, the Release (with such changes thereto as the Company deems necessary to reflect that Executive’s surviving spouse or the executor of Executive’s estate, as applicable, and not Executive, is executing such Release). The Severance Benefits are in full satisfaction of all payment obligations of the Company and its subsidiaries under the Employment Agreement, the Company 2011 Stock Incentive Plan (as amended or amended and restated from time to time, the “</w:t>
      </w:r>
      <w:r>
        <w:rPr>
          <w:rFonts w:ascii="Arial" w:cs="Arial" w:eastAsia="Arial" w:hAnsi="Arial"/>
          <w:sz w:val="18"/>
          <w:szCs w:val="18"/>
          <w:u w:val="single" w:color="auto"/>
          <w:color w:val="auto"/>
        </w:rPr>
        <w:t>2011 Stock Plan</w:t>
      </w:r>
      <w:r>
        <w:rPr>
          <w:rFonts w:ascii="Arial" w:cs="Arial" w:eastAsia="Arial" w:hAnsi="Arial"/>
          <w:sz w:val="18"/>
          <w:szCs w:val="18"/>
          <w:color w:val="auto"/>
        </w:rPr>
        <w:t>”), the Company 2000 Stock Incentive Plan, as amended (the “</w:t>
      </w:r>
      <w:r>
        <w:rPr>
          <w:rFonts w:ascii="Arial" w:cs="Arial" w:eastAsia="Arial" w:hAnsi="Arial"/>
          <w:sz w:val="18"/>
          <w:szCs w:val="18"/>
          <w:u w:val="single" w:color="auto"/>
          <w:color w:val="auto"/>
        </w:rPr>
        <w:t>2000 Stock Plan</w:t>
      </w:r>
      <w:r>
        <w:rPr>
          <w:rFonts w:ascii="Arial" w:cs="Arial" w:eastAsia="Arial" w:hAnsi="Arial"/>
          <w:sz w:val="18"/>
          <w:szCs w:val="18"/>
          <w:color w:val="auto"/>
        </w:rPr>
        <w:t>” and together with the 2011 Stock Plan, the “</w:t>
      </w:r>
      <w:r>
        <w:rPr>
          <w:rFonts w:ascii="Arial" w:cs="Arial" w:eastAsia="Arial" w:hAnsi="Arial"/>
          <w:sz w:val="18"/>
          <w:szCs w:val="18"/>
          <w:u w:val="single" w:color="auto"/>
          <w:color w:val="auto"/>
        </w:rPr>
        <w:t>Equity Plans</w:t>
      </w:r>
      <w:r>
        <w:rPr>
          <w:rFonts w:ascii="Arial" w:cs="Arial" w:eastAsia="Arial" w:hAnsi="Arial"/>
          <w:sz w:val="18"/>
          <w:szCs w:val="18"/>
          <w:color w:val="auto"/>
        </w:rPr>
        <w:t>”) the Company Long Term Incentive Plan and other compensation arrangements of the Company and its subsidiaries.</w:t>
      </w:r>
    </w:p>
    <w:p>
      <w:pPr>
        <w:spacing w:after="0" w:line="171" w:lineRule="exact"/>
        <w:rPr>
          <w:sz w:val="20"/>
          <w:szCs w:val="20"/>
          <w:color w:val="auto"/>
        </w:rPr>
      </w:pPr>
    </w:p>
    <w:p>
      <w:pPr>
        <w:ind w:left="1100" w:hanging="858"/>
        <w:spacing w:after="0" w:line="268"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Transition Period</w:t>
      </w:r>
      <w:r>
        <w:rPr>
          <w:rFonts w:ascii="Arial" w:cs="Arial" w:eastAsia="Arial" w:hAnsi="Arial"/>
          <w:sz w:val="18"/>
          <w:szCs w:val="18"/>
          <w:color w:val="auto"/>
        </w:rPr>
        <w:t>. From the Effective Date through the Date of Termination or, if earlier, the date of Executive’s death or voluntary resignation (the “</w:t>
      </w:r>
      <w:r>
        <w:rPr>
          <w:rFonts w:ascii="Arial" w:cs="Arial" w:eastAsia="Arial" w:hAnsi="Arial"/>
          <w:sz w:val="18"/>
          <w:szCs w:val="18"/>
          <w:u w:val="single" w:color="auto"/>
          <w:color w:val="auto"/>
        </w:rPr>
        <w:t>Transition Period</w:t>
      </w:r>
      <w:r>
        <w:rPr>
          <w:rFonts w:ascii="Arial" w:cs="Arial" w:eastAsia="Arial" w:hAnsi="Arial"/>
          <w:sz w:val="18"/>
          <w:szCs w:val="18"/>
          <w:color w:val="auto"/>
        </w:rPr>
        <w:t>”), Executive shall continue to be paid his current base salary of $427,100 (“</w:t>
      </w:r>
      <w:r>
        <w:rPr>
          <w:rFonts w:ascii="Arial" w:cs="Arial" w:eastAsia="Arial" w:hAnsi="Arial"/>
          <w:sz w:val="18"/>
          <w:szCs w:val="18"/>
          <w:u w:val="single" w:color="auto"/>
          <w:color w:val="auto"/>
        </w:rPr>
        <w:t>Base Salary</w:t>
      </w:r>
      <w:r>
        <w:rPr>
          <w:rFonts w:ascii="Arial" w:cs="Arial" w:eastAsia="Arial" w:hAnsi="Arial"/>
          <w:sz w:val="18"/>
          <w:szCs w:val="18"/>
          <w:color w:val="auto"/>
        </w:rPr>
        <w:t>”) and receive his current employee benefits, including Executive’s eligibility to earn an annual bonus for 2020 in accordance with the terms and conditions of the Company’s annual bonus program and with a target bonus opportunity of 60% of Base Salary. During the Transition Period, Executive may only be terminated by the Company for Cause. For purposes of this Transition Agreement, “</w:t>
      </w:r>
      <w:r>
        <w:rPr>
          <w:rFonts w:ascii="Arial" w:cs="Arial" w:eastAsia="Arial" w:hAnsi="Arial"/>
          <w:sz w:val="18"/>
          <w:szCs w:val="18"/>
          <w:u w:val="single" w:color="auto"/>
          <w:color w:val="auto"/>
        </w:rPr>
        <w:t>Cause</w:t>
      </w:r>
      <w:r>
        <w:rPr>
          <w:rFonts w:ascii="Arial" w:cs="Arial" w:eastAsia="Arial" w:hAnsi="Arial"/>
          <w:sz w:val="18"/>
          <w:szCs w:val="18"/>
          <w:color w:val="auto"/>
        </w:rPr>
        <w:t>” is defined as (i) Executive’s willful and repeated failure to perform his duties (other than any such failure resulting from incapacity due to physical or mental illness); (ii) Executive’s willful engagement in dishonesty, illegal conduct, or gross misconduct, which is, in each case, materially injurious to the Company; (iii) Executive’s embezzlement, misappropriation, or fraud, whether or not related to Executive’s employment with the Company; (iv) Executive’s conviction of or plea of guilty or nolo contendere to a crime that constitutes a felony (or state law equivalent) or a crime that constitutes a misdemeanor involving moral turpitude, if such felony or other crime is work-related, materially impairs Executive’s ability to perform services for the Company or results in material reputational or financial harm to the Company; or (v) any material failure by Executive to comply with the Company’s written polices or rules. No act or failure to act on the part of Executive shall be considered “willful” unless it is done, or omitted to be done, by Executive in bad faith or without reasonable belief that Executive’s action or omission was in the best interests of the Company. For purposes of this Transition Agreement, termination of Executive’s employment will not be deemed to be for Cause unless and until the Company delivers to Executive a written notice of the conduct that the Company finds constitutes Cause. Except for Cause that by its nature cannot reasonably be expected to be cured, Executive will have 10 business days from the delivery of written notice by the Company within which to cure the Cause.</w:t>
      </w:r>
    </w:p>
    <w:p>
      <w:pPr>
        <w:spacing w:after="0" w:line="185" w:lineRule="exact"/>
        <w:rPr>
          <w:sz w:val="20"/>
          <w:szCs w:val="20"/>
          <w:color w:val="auto"/>
        </w:rPr>
      </w:pPr>
    </w:p>
    <w:p>
      <w:pPr>
        <w:ind w:left="1100" w:hanging="847"/>
        <w:spacing w:after="0" w:line="244" w:lineRule="auto"/>
        <w:tabs>
          <w:tab w:leader="none" w:pos="108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Executive agrees that he shall not talk about or otherwise communicate to any third parties in a malicious, disparaging or defamatory manner regarding the Company or its past or present employees, officers, directors, managers, board members, agents, affiliates, parent entities, subsidiaries, administrators, successors, and assigns (the “</w:t>
      </w:r>
      <w:r>
        <w:rPr>
          <w:rFonts w:ascii="Arial" w:cs="Arial" w:eastAsia="Arial" w:hAnsi="Arial"/>
          <w:sz w:val="20"/>
          <w:szCs w:val="20"/>
          <w:u w:val="single" w:color="auto"/>
          <w:color w:val="auto"/>
        </w:rPr>
        <w:t>Company Parties</w:t>
      </w:r>
      <w:r>
        <w:rPr>
          <w:rFonts w:ascii="Arial" w:cs="Arial" w:eastAsia="Arial" w:hAnsi="Arial"/>
          <w:sz w:val="20"/>
          <w:szCs w:val="20"/>
          <w:color w:val="auto"/>
        </w:rPr>
        <w:t>”), or any aspect of his employment with the Company or its subsidiaries. The Company agrees that it shall use its reasonable best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40"/>
          </w:cols>
          <w:pgMar w:left="520" w:top="1440" w:right="339" w:bottom="1440" w:gutter="0" w:footer="0" w:header="0"/>
        </w:sectPr>
      </w:pPr>
    </w:p>
    <w:bookmarkStart w:id="90" w:name="page91"/>
    <w:bookmarkEnd w:id="90"/>
    <w:p>
      <w:pPr>
        <w:spacing w:after="0" w:line="195" w:lineRule="exact"/>
        <w:rPr>
          <w:sz w:val="20"/>
          <w:szCs w:val="20"/>
          <w:color w:val="auto"/>
        </w:rPr>
      </w:pPr>
    </w:p>
    <w:p>
      <w:pPr>
        <w:ind w:left="1100" w:right="140"/>
        <w:spacing w:after="0" w:line="260" w:lineRule="auto"/>
        <w:rPr>
          <w:sz w:val="20"/>
          <w:szCs w:val="20"/>
          <w:color w:val="auto"/>
        </w:rPr>
      </w:pPr>
      <w:r>
        <w:rPr>
          <w:rFonts w:ascii="Arial" w:cs="Arial" w:eastAsia="Arial" w:hAnsi="Arial"/>
          <w:sz w:val="19"/>
          <w:szCs w:val="19"/>
          <w:color w:val="auto"/>
        </w:rPr>
        <w:t>cause its officers and directors to refrain from talking about or otherwise communicating to any third parties in a malicious, disparaging or defamatory manner regarding Executive. Further, Executive shall not make or authorize to be made any written or oral statement that may disparage or damage the reputation of the Company or the Company Parties, and the Company shall use its reasonable best efforts to cause its officers and directors to not make or authorize to be made any written or oral statement that may disparage or damage Executive’s reputation.</w:t>
      </w:r>
    </w:p>
    <w:p>
      <w:pPr>
        <w:spacing w:after="0" w:line="180" w:lineRule="exact"/>
        <w:rPr>
          <w:sz w:val="20"/>
          <w:szCs w:val="20"/>
          <w:color w:val="auto"/>
        </w:rPr>
      </w:pPr>
    </w:p>
    <w:p>
      <w:pPr>
        <w:ind w:left="1100" w:right="40" w:hanging="793"/>
        <w:spacing w:after="0" w:line="270" w:lineRule="auto"/>
        <w:tabs>
          <w:tab w:leader="none" w:pos="108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Post-Employment Restrictive Covenants</w:t>
      </w:r>
      <w:r>
        <w:rPr>
          <w:rFonts w:ascii="Arial" w:cs="Arial" w:eastAsia="Arial" w:hAnsi="Arial"/>
          <w:sz w:val="18"/>
          <w:szCs w:val="18"/>
          <w:color w:val="auto"/>
        </w:rPr>
        <w:t>. Executive reaffirms that Executive’s post-employment restrictions set forth in Section 11 of the Employment Agreement expressly survive termination of Executive’s employment, will remain in full force and effect notwithstanding the termination of Executive’s employment, and are hereby incorporated by reference into this Transition Agreement. Executive acknowledges that breach of any post-employment restrictive covenant in the Employment Agreement will constitute a breach of this Transition Agreement. Further, Executive acknowledges that the Company’s obligation to pay the Severance Benefits shall cease in the event Executive breaches any of his obligations hereunder or as set forth in Section 11 of the Employment Agreement. Executive recognizes the legitimate business interests of the Company in protecting its goodwill or other business interests and represents that the post-employment restrictions outlined in the Employment Agreement do not unduly restrict or curtail his legitimate efforts to earn a livelihood in light of the substantial consideration Executive will receive. The covenants in Section 2.4 of the 2011 Stock Plan and Section 5 of the 2000 Stock Plan and any non-competition, non-solicitation (employee or customer) or non-interference covenants in any award agreement under the Equity Plans will continue to apply to Executive after the Date of Termination.</w:t>
      </w:r>
    </w:p>
    <w:p>
      <w:pPr>
        <w:spacing w:after="0" w:line="176" w:lineRule="exact"/>
        <w:rPr>
          <w:sz w:val="20"/>
          <w:szCs w:val="20"/>
          <w:color w:val="auto"/>
        </w:rPr>
      </w:pPr>
    </w:p>
    <w:p>
      <w:pPr>
        <w:ind w:left="1100" w:right="900" w:hanging="847"/>
        <w:spacing w:after="0" w:line="260" w:lineRule="auto"/>
        <w:tabs>
          <w:tab w:leader="none" w:pos="110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Indemnification and Director &amp; Officer Insurance Obligations</w:t>
      </w:r>
      <w:r>
        <w:rPr>
          <w:rFonts w:ascii="Arial" w:cs="Arial" w:eastAsia="Arial" w:hAnsi="Arial"/>
          <w:sz w:val="20"/>
          <w:szCs w:val="20"/>
          <w:color w:val="auto"/>
        </w:rPr>
        <w:t>. The Company reaffirms its obligations set forth in Section 5(g) of the Employment Agreement.</w:t>
      </w:r>
    </w:p>
    <w:p>
      <w:pPr>
        <w:spacing w:after="0" w:line="176" w:lineRule="exact"/>
        <w:rPr>
          <w:rFonts w:ascii="Arial" w:cs="Arial" w:eastAsia="Arial" w:hAnsi="Arial"/>
          <w:sz w:val="20"/>
          <w:szCs w:val="20"/>
          <w:color w:val="auto"/>
        </w:rPr>
      </w:pPr>
    </w:p>
    <w:p>
      <w:pPr>
        <w:ind w:left="1100" w:hanging="902"/>
        <w:spacing w:after="0" w:line="273"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Executive affirms that he has, or will have within a reasonable time after the Date of Termination, returned to the Company in reasonable working order all Company Property, as described more fully below.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includes equipment, supplies and documents of the Company or any subsidiary of the Company.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therefrom, whether such documents are embodied on “hard copies” or contained on computer disk or any other medium. Executive further agrees that he will not retain any copies or duplicates of any such Company Property.</w:t>
      </w:r>
    </w:p>
    <w:p>
      <w:pPr>
        <w:spacing w:after="0" w:line="168" w:lineRule="exact"/>
        <w:rPr>
          <w:rFonts w:ascii="Arial" w:cs="Arial" w:eastAsia="Arial" w:hAnsi="Arial"/>
          <w:sz w:val="18"/>
          <w:szCs w:val="18"/>
          <w:color w:val="auto"/>
        </w:rPr>
      </w:pPr>
    </w:p>
    <w:p>
      <w:pPr>
        <w:ind w:left="1100" w:right="40" w:hanging="957"/>
        <w:spacing w:after="0" w:line="259" w:lineRule="auto"/>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Future Cooperation</w:t>
      </w:r>
      <w:r>
        <w:rPr>
          <w:rFonts w:ascii="Arial" w:cs="Arial" w:eastAsia="Arial" w:hAnsi="Arial"/>
          <w:sz w:val="19"/>
          <w:szCs w:val="19"/>
          <w:color w:val="auto"/>
        </w:rPr>
        <w:t>. Executive agrees that, for a period of 24 months following the Date of Termination, he will fully cooperate with the Company in effecting an orderly transition of his duties and in ensuring that the business of the Company is conducted in a professional, positive and competent manner including, without limitation, by making himself available to answer questions posed by the Company. Executive agrees that he shall, without any additional compensation, respond to reasonable requests for information from the Company regarding matters that may arise in the Company’s business. Executive further agrees to fully and completely cooperate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00"/>
          </w:cols>
          <w:pgMar w:left="520" w:top="1440" w:right="379" w:bottom="1440" w:gutter="0" w:footer="0" w:header="0"/>
        </w:sectPr>
      </w:pPr>
    </w:p>
    <w:bookmarkStart w:id="91" w:name="page92"/>
    <w:bookmarkEnd w:id="91"/>
    <w:p>
      <w:pPr>
        <w:spacing w:after="0" w:line="195" w:lineRule="exact"/>
        <w:rPr>
          <w:sz w:val="20"/>
          <w:szCs w:val="20"/>
          <w:color w:val="auto"/>
        </w:rPr>
      </w:pPr>
    </w:p>
    <w:p>
      <w:pPr>
        <w:ind w:left="1100" w:right="100"/>
        <w:spacing w:after="0" w:line="243" w:lineRule="auto"/>
        <w:rPr>
          <w:sz w:val="20"/>
          <w:szCs w:val="20"/>
          <w:color w:val="auto"/>
        </w:rPr>
      </w:pPr>
      <w:r>
        <w:rPr>
          <w:rFonts w:ascii="Arial" w:cs="Arial" w:eastAsia="Arial" w:hAnsi="Arial"/>
          <w:sz w:val="20"/>
          <w:szCs w:val="20"/>
          <w:color w:val="auto"/>
        </w:rPr>
        <w:t>its advisors and its legal counsel with respect to any litigation that is pending against the Company and any claim or action that may be filed against the Company in the future. Such cooperation shall include making himself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pay/reimburse Executive for any pre-approved travel expenses incurred as a result of his cooperation with the Company.</w:t>
      </w:r>
    </w:p>
    <w:p>
      <w:pPr>
        <w:spacing w:after="0" w:line="196" w:lineRule="exact"/>
        <w:rPr>
          <w:sz w:val="20"/>
          <w:szCs w:val="20"/>
          <w:color w:val="auto"/>
        </w:rPr>
      </w:pPr>
    </w:p>
    <w:p>
      <w:pPr>
        <w:ind w:left="1100" w:right="40" w:hanging="847"/>
        <w:spacing w:after="0" w:line="241" w:lineRule="auto"/>
        <w:tabs>
          <w:tab w:leader="none" w:pos="11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Acknowledgements</w:t>
      </w:r>
      <w:r>
        <w:rPr>
          <w:rFonts w:ascii="Arial" w:cs="Arial" w:eastAsia="Arial" w:hAnsi="Arial"/>
          <w:sz w:val="20"/>
          <w:szCs w:val="20"/>
          <w:color w:val="auto"/>
        </w:rPr>
        <w:t>. Nothing in this Transition Agreement prevents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Executive shall prevent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the Equal Employment Opportunity Commission, National Labor Relations Board, Securities and Exchange Commission, etc.) or receiving a monetary award from a government-administered whistleblower award program for providing information directly to a government agency. The Company nonetheless asserts and does not waive its attorney-client privilege over any information appropriately protected by such privilege.</w:t>
      </w:r>
    </w:p>
    <w:p>
      <w:pPr>
        <w:spacing w:after="0" w:line="200" w:lineRule="exact"/>
        <w:rPr>
          <w:rFonts w:ascii="Arial" w:cs="Arial" w:eastAsia="Arial" w:hAnsi="Arial"/>
          <w:sz w:val="20"/>
          <w:szCs w:val="20"/>
          <w:color w:val="auto"/>
        </w:rPr>
      </w:pPr>
    </w:p>
    <w:p>
      <w:pPr>
        <w:ind w:left="1100" w:hanging="793"/>
        <w:spacing w:after="0" w:line="276"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Nature of Agreement</w:t>
      </w:r>
      <w:r>
        <w:rPr>
          <w:rFonts w:ascii="Arial" w:cs="Arial" w:eastAsia="Arial" w:hAnsi="Arial"/>
          <w:sz w:val="18"/>
          <w:szCs w:val="18"/>
          <w:color w:val="auto"/>
        </w:rPr>
        <w:t>. This Transition Agreement contains the entire agreement between the Company (including its subsidiaries) and Executive regarding Executive’s departure from the Company, except that all post-employment covenants of Executive contained in the Employment Agreement, the Equity Plans and in any award agreements under the Equity Plans will remain in full force and effect. This Transition Agreement may not be altered, modified, waived or amended except by a written document signed by a duly authorized representative of the Company and Executive. The headings in this document are for reference only and shall not in any way affect the meaning or interpretation of this Transition Agreement.</w:t>
      </w:r>
    </w:p>
    <w:p>
      <w:pPr>
        <w:spacing w:after="0" w:line="164" w:lineRule="exact"/>
        <w:rPr>
          <w:rFonts w:ascii="Arial" w:cs="Arial" w:eastAsia="Arial" w:hAnsi="Arial"/>
          <w:sz w:val="18"/>
          <w:szCs w:val="18"/>
          <w:color w:val="auto"/>
        </w:rPr>
      </w:pPr>
    </w:p>
    <w:p>
      <w:pPr>
        <w:ind w:left="1100" w:right="20" w:hanging="847"/>
        <w:spacing w:after="0" w:line="271"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Transition Agreement will be governed by and construed in accordance with the laws of the Commonwealth of Pennsylvania, without giving effect to any choice of law or conflicting provision or rule (whether of the Commonwealth of Pennsylvania or any other jurisdiction) that would cause the laws of any jurisdiction other than the Commonwealth of Pennsylvania to be applied. In furtherance of the foregoing, the internal law of the Commonwealth of Pennsylvania will control the interpretation and construction of this Transition Agreement, even if under such jurisdiction’s choice of law or conflict of law analysis, the substantive law of some other jurisdiction would ordinarily apply. Further, to the extent that Executive or the Company is required to initiate legal action to enforce any right or obligation under this Transition Agreement, Executive and the Company agree that any such litigation shall be filed and determined by the United States District Court for the Western District of Pennsylvania or the Court of Common Pleas for Allegheny County; and both Executive and the Company consent to the exclusive personal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520" w:top="1440" w:right="359" w:bottom="1440" w:gutter="0" w:footer="0" w:header="0"/>
        </w:sectPr>
      </w:pPr>
    </w:p>
    <w:bookmarkStart w:id="92" w:name="page93"/>
    <w:bookmarkEnd w:id="92"/>
    <w:p>
      <w:pPr>
        <w:spacing w:after="0" w:line="195"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the following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939"/>
          </w:cols>
          <w:pgMar w:left="520" w:top="1440" w:right="1440" w:bottom="1440" w:gutter="0" w:footer="0" w:header="0"/>
        </w:sectPr>
      </w:pPr>
    </w:p>
    <w:bookmarkStart w:id="93" w:name="page94"/>
    <w:bookmarkEnd w:id="93"/>
    <w:p>
      <w:pPr>
        <w:spacing w:after="0" w:line="338" w:lineRule="exact"/>
        <w:rPr>
          <w:sz w:val="20"/>
          <w:szCs w:val="20"/>
          <w:color w:val="auto"/>
        </w:rPr>
      </w:pPr>
    </w:p>
    <w:p>
      <w:pPr>
        <w:jc w:val="right"/>
        <w:ind w:right="1939"/>
        <w:spacing w:after="0"/>
        <w:rPr>
          <w:sz w:val="20"/>
          <w:szCs w:val="20"/>
          <w:color w:val="auto"/>
        </w:rPr>
      </w:pPr>
      <w:r>
        <w:rPr>
          <w:rFonts w:ascii="Arial" w:cs="Arial" w:eastAsia="Arial" w:hAnsi="Arial"/>
          <w:sz w:val="20"/>
          <w:szCs w:val="20"/>
          <w:b w:val="1"/>
          <w:bCs w:val="1"/>
          <w:color w:val="auto"/>
        </w:rPr>
        <w:t>Westinghouse Air Brake Technologies Corporation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By: /s/ Nicole B. Theophilus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13538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Nicole B. Theophilus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Title: Executive Vice President,</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Scott E. Wahlstrom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2534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Scott E. Wahlstrom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[Signature Page to Transition Agreement – Wahlstrom]</w:t>
      </w:r>
    </w:p>
    <w:p>
      <w:pPr>
        <w:sectPr>
          <w:pgSz w:w="11900" w:h="16838" w:orient="portrait"/>
          <w:cols w:equalWidth="0" w:num="1">
            <w:col w:w="9939"/>
          </w:cols>
          <w:pgMar w:left="520" w:top="1440"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Release of Claims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9019"/>
          </w:cols>
          <w:pgMar w:left="1440" w:top="1426"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Release</w:t>
      </w:r>
    </w:p>
    <w:p>
      <w:pPr>
        <w:spacing w:after="0" w:line="127" w:lineRule="exact"/>
        <w:rPr>
          <w:sz w:val="20"/>
          <w:szCs w:val="20"/>
          <w:color w:val="auto"/>
        </w:rPr>
      </w:pPr>
    </w:p>
    <w:p>
      <w:pPr>
        <w:ind w:right="20" w:firstLine="194"/>
        <w:spacing w:after="0" w:line="274" w:lineRule="auto"/>
        <w:rPr>
          <w:sz w:val="20"/>
          <w:szCs w:val="20"/>
          <w:color w:val="auto"/>
        </w:rPr>
      </w:pPr>
      <w:r>
        <w:rPr>
          <w:rFonts w:ascii="Arial" w:cs="Arial" w:eastAsia="Arial" w:hAnsi="Arial"/>
          <w:sz w:val="20"/>
          <w:szCs w:val="20"/>
          <w:color w:val="auto"/>
        </w:rPr>
        <w:t>THIS RELEASE (the “</w:t>
      </w:r>
      <w:r>
        <w:rPr>
          <w:rFonts w:ascii="Arial" w:cs="Arial" w:eastAsia="Arial" w:hAnsi="Arial"/>
          <w:sz w:val="20"/>
          <w:szCs w:val="20"/>
          <w:u w:val="single" w:color="auto"/>
          <w:color w:val="auto"/>
        </w:rPr>
        <w:t>Release</w:t>
      </w:r>
      <w:r>
        <w:rPr>
          <w:rFonts w:ascii="Arial" w:cs="Arial" w:eastAsia="Arial" w:hAnsi="Arial"/>
          <w:sz w:val="20"/>
          <w:szCs w:val="20"/>
          <w:color w:val="auto"/>
        </w:rPr>
        <w:t>”) is executed by Scott E. Wahlstrom (“</w:t>
      </w:r>
      <w:r>
        <w:rPr>
          <w:rFonts w:ascii="Arial" w:cs="Arial" w:eastAsia="Arial" w:hAnsi="Arial"/>
          <w:sz w:val="20"/>
          <w:szCs w:val="20"/>
          <w:u w:val="single" w:color="auto"/>
          <w:color w:val="auto"/>
        </w:rPr>
        <w:t>Executive</w:t>
      </w:r>
      <w:r>
        <w:rPr>
          <w:rFonts w:ascii="Arial" w:cs="Arial" w:eastAsia="Arial" w:hAnsi="Arial"/>
          <w:sz w:val="20"/>
          <w:szCs w:val="20"/>
          <w:color w:val="auto"/>
        </w:rPr>
        <w:t>”) for the benefit of Westinghouse Air Brake Technologies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09" w:lineRule="exact"/>
        <w:rPr>
          <w:sz w:val="20"/>
          <w:szCs w:val="20"/>
          <w:color w:val="auto"/>
        </w:rPr>
      </w:pPr>
    </w:p>
    <w:p>
      <w:pPr>
        <w:jc w:val="both"/>
        <w:ind w:right="520" w:firstLine="194"/>
        <w:spacing w:after="0" w:line="306" w:lineRule="auto"/>
        <w:rPr>
          <w:sz w:val="20"/>
          <w:szCs w:val="20"/>
          <w:color w:val="auto"/>
        </w:rPr>
      </w:pPr>
      <w:r>
        <w:rPr>
          <w:rFonts w:ascii="Arial" w:cs="Arial" w:eastAsia="Arial" w:hAnsi="Arial"/>
          <w:sz w:val="18"/>
          <w:szCs w:val="18"/>
          <w:color w:val="auto"/>
        </w:rPr>
        <w:t>WHEREAS, the entering into and non-revocation of this Release is a condition to Executive’s right to receive certain payments and benefits under the Transition Agreement, dated as of November 25, 2020, by and between the Company and Executive (the “</w:t>
      </w:r>
      <w:r>
        <w:rPr>
          <w:rFonts w:ascii="Arial" w:cs="Arial" w:eastAsia="Arial" w:hAnsi="Arial"/>
          <w:sz w:val="18"/>
          <w:szCs w:val="18"/>
          <w:u w:val="single" w:color="auto"/>
          <w:color w:val="auto"/>
        </w:rPr>
        <w:t>Transition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and not defined herein shall have the meaning provided in the Transition Agreement.</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NOW, THEREFORE, in consideration for Severance Benefits, to which Executive is not otherwise entitled, and the sufficiency of which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Executive acknowledges, Executive represents and agrees, as follows:</w:t>
      </w:r>
    </w:p>
    <w:p>
      <w:pPr>
        <w:spacing w:after="0" w:line="135" w:lineRule="exact"/>
        <w:rPr>
          <w:sz w:val="20"/>
          <w:szCs w:val="20"/>
          <w:color w:val="auto"/>
        </w:rPr>
      </w:pPr>
    </w:p>
    <w:p>
      <w:pPr>
        <w:ind w:right="60" w:firstLine="818"/>
        <w:spacing w:after="0" w:line="256" w:lineRule="auto"/>
        <w:tabs>
          <w:tab w:leader="none" w:pos="1296" w:val="left"/>
        </w:tabs>
        <w:numPr>
          <w:ilvl w:val="1"/>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 in Full of All Claims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for himself, his heirs, administrators, representatives, executors,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(collectively “</w:t>
      </w:r>
      <w:r>
        <w:rPr>
          <w:rFonts w:ascii="Arial" w:cs="Arial" w:eastAsia="Arial" w:hAnsi="Arial"/>
          <w:sz w:val="19"/>
          <w:szCs w:val="19"/>
          <w:u w:val="single" w:color="auto"/>
          <w:color w:val="auto"/>
        </w:rPr>
        <w:t>Releasers</w:t>
      </w:r>
      <w:r>
        <w:rPr>
          <w:rFonts w:ascii="Arial" w:cs="Arial" w:eastAsia="Arial" w:hAnsi="Arial"/>
          <w:sz w:val="19"/>
          <w:szCs w:val="19"/>
          <w:color w:val="auto"/>
        </w:rPr>
        <w:t>”), hereby irrevocably and unconditionally releases, acquits and forever discharges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Arial" w:cs="Arial" w:eastAsia="Arial" w:hAnsi="Arial"/>
          <w:sz w:val="19"/>
          <w:szCs w:val="19"/>
          <w:u w:val="single" w:color="auto"/>
          <w:color w:val="auto"/>
        </w:rPr>
        <w:t>Releasees</w:t>
      </w:r>
      <w:r>
        <w:rPr>
          <w:rFonts w:ascii="Arial" w:cs="Arial" w:eastAsia="Arial" w:hAnsi="Arial"/>
          <w:sz w:val="19"/>
          <w:szCs w:val="19"/>
          <w:color w:val="auto"/>
        </w:rPr>
        <w:t>”), from all claims, rights and liabilities up to and including the date of this Release arising from or relating to Executive’s employment with the Company, its subsidiaries, and affiliates or the termination thereof and from any and all charges, complaints, claims, liabilities, obligations, promises, agreements, controversies, damages, actions, causes of action, suits, rights, demands, costs, losses, debts and expenses of any nature whatsoever, known or unknown, suspected or unsuspected (“</w:t>
      </w:r>
      <w:r>
        <w:rPr>
          <w:rFonts w:ascii="Arial" w:cs="Arial" w:eastAsia="Arial" w:hAnsi="Arial"/>
          <w:sz w:val="19"/>
          <w:szCs w:val="19"/>
          <w:u w:val="single" w:color="auto"/>
          <w:color w:val="auto"/>
        </w:rPr>
        <w:t>Claims</w:t>
      </w:r>
      <w:r>
        <w:rPr>
          <w:rFonts w:ascii="Arial" w:cs="Arial" w:eastAsia="Arial" w:hAnsi="Arial"/>
          <w:sz w:val="19"/>
          <w:szCs w:val="19"/>
          <w:color w:val="auto"/>
        </w:rPr>
        <w:t>”). Executive acknowledges that the Claims released under this paragraph might arise under many different foreign, domestic, national, state, or local laws (including statutes, regulations, other administrative guidance, and common law doctrines), including, but not limited to, the following:</w:t>
      </w:r>
    </w:p>
    <w:p>
      <w:pPr>
        <w:spacing w:after="0" w:line="182" w:lineRule="exact"/>
        <w:rPr>
          <w:rFonts w:ascii="Arial" w:cs="Arial" w:eastAsia="Arial" w:hAnsi="Arial"/>
          <w:sz w:val="19"/>
          <w:szCs w:val="19"/>
          <w:color w:val="auto"/>
        </w:rPr>
      </w:pPr>
    </w:p>
    <w:p>
      <w:pPr>
        <w:ind w:left="1300" w:right="120" w:hanging="644"/>
        <w:spacing w:after="0" w:line="250" w:lineRule="auto"/>
        <w:tabs>
          <w:tab w:leader="none" w:pos="129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Claims of breach of contract, whether express, implied or implied-in-fact, promissory estoppel, wrongful discharge, retaliatory discharge, interference with contractual relations or prospective economic advantage or violation of any duties of good faith and fair dealing;</w:t>
      </w:r>
    </w:p>
    <w:p>
      <w:pPr>
        <w:spacing w:after="0" w:line="185" w:lineRule="exact"/>
        <w:rPr>
          <w:rFonts w:ascii="Arial" w:cs="Arial" w:eastAsia="Arial" w:hAnsi="Arial"/>
          <w:sz w:val="20"/>
          <w:szCs w:val="20"/>
          <w:color w:val="auto"/>
        </w:rPr>
      </w:pPr>
    </w:p>
    <w:p>
      <w:pPr>
        <w:ind w:left="1300" w:right="200" w:hanging="644"/>
        <w:spacing w:after="0" w:line="246" w:lineRule="auto"/>
        <w:tabs>
          <w:tab w:leader="none" w:pos="1288" w:val="left"/>
        </w:tabs>
        <w:numPr>
          <w:ilvl w:val="0"/>
          <w:numId w:val="43"/>
        </w:numPr>
        <w:rPr>
          <w:rFonts w:ascii="Arial" w:cs="Arial" w:eastAsia="Arial" w:hAnsi="Arial"/>
          <w:sz w:val="20"/>
          <w:szCs w:val="20"/>
          <w:color w:val="auto"/>
        </w:rPr>
      </w:pPr>
      <w:r>
        <w:rPr>
          <w:rFonts w:ascii="Arial" w:cs="Arial" w:eastAsia="Arial" w:hAnsi="Arial"/>
          <w:sz w:val="20"/>
          <w:szCs w:val="20"/>
          <w:color w:val="auto"/>
        </w:rPr>
        <w:t>Claims for salary, bonus compensation, incentive compensation, commissions, deferred compensation, premium payments, overtime compensation, stock rights, stock options, vacation, paid time off, sick leave, family leave, medical leave, fringe benefits or remuneration of any kind arising out of or relating to Executive’s employment by the Company up through the Date of Termination;</w:t>
      </w:r>
    </w:p>
    <w:p>
      <w:pPr>
        <w:spacing w:after="0" w:line="191" w:lineRule="exact"/>
        <w:rPr>
          <w:rFonts w:ascii="Arial" w:cs="Arial" w:eastAsia="Arial" w:hAnsi="Arial"/>
          <w:sz w:val="20"/>
          <w:szCs w:val="20"/>
          <w:color w:val="auto"/>
        </w:rPr>
      </w:pPr>
    </w:p>
    <w:p>
      <w:pPr>
        <w:ind w:left="1300" w:right="140" w:hanging="644"/>
        <w:spacing w:after="0" w:line="257" w:lineRule="auto"/>
        <w:tabs>
          <w:tab w:leader="none" w:pos="1290" w:val="left"/>
        </w:tabs>
        <w:numPr>
          <w:ilvl w:val="0"/>
          <w:numId w:val="43"/>
        </w:numPr>
        <w:rPr>
          <w:rFonts w:ascii="Arial" w:cs="Arial" w:eastAsia="Arial" w:hAnsi="Arial"/>
          <w:sz w:val="19"/>
          <w:szCs w:val="19"/>
          <w:color w:val="auto"/>
        </w:rPr>
      </w:pPr>
      <w:r>
        <w:rPr>
          <w:rFonts w:ascii="Arial" w:cs="Arial" w:eastAsia="Arial" w:hAnsi="Arial"/>
          <w:sz w:val="19"/>
          <w:szCs w:val="19"/>
          <w:color w:val="auto"/>
        </w:rPr>
        <w:t>Claims under or pursuant to the Americans with Disabilities Act, as amended, the Age Discrimination in Employment Act, as amended (the “</w:t>
      </w:r>
      <w:r>
        <w:rPr>
          <w:rFonts w:ascii="Arial" w:cs="Arial" w:eastAsia="Arial" w:hAnsi="Arial"/>
          <w:sz w:val="19"/>
          <w:szCs w:val="19"/>
          <w:u w:val="single" w:color="auto"/>
          <w:color w:val="auto"/>
        </w:rPr>
        <w:t>ADEA</w:t>
      </w:r>
      <w:r>
        <w:rPr>
          <w:rFonts w:ascii="Arial" w:cs="Arial" w:eastAsia="Arial" w:hAnsi="Arial"/>
          <w:sz w:val="19"/>
          <w:szCs w:val="19"/>
          <w:color w:val="auto"/>
        </w:rPr>
        <w:t>”), Title VII of the Civil Rights Act of 1964, as amended, the Civil Rights Act of 1991, the Equal Pay Act, United States Presidential Executive Orders 11246 and 11375, 42 U.S.C. § 1981, as amended, the Family and Medical Leave Act, the Sarbanes-Oxley Act, the Worker Adjustment and Retraining Notification Act, the Genetic Information Nondiscrimination Act, and the Fair Labor Standards Act (including Claims for salary, bonus compensation, commissions, deferred compensation or remuneration of any kind), as well as any other federal law, statute, ordinance, rule, regulation or executive order relating to employment and/or</w:t>
      </w:r>
    </w:p>
    <w:p>
      <w:pPr>
        <w:sectPr>
          <w:pgSz w:w="11900" w:h="16838" w:orient="portrait"/>
          <w:cols w:equalWidth="0" w:num="1">
            <w:col w:w="11240"/>
          </w:cols>
          <w:pgMar w:left="320" w:top="118" w:right="339" w:bottom="1440" w:gutter="0" w:footer="0" w:header="0"/>
        </w:sectPr>
      </w:pPr>
    </w:p>
    <w:bookmarkStart w:id="96" w:name="page97"/>
    <w:bookmarkEnd w:id="96"/>
    <w:p>
      <w:pPr>
        <w:ind w:left="1080"/>
        <w:spacing w:after="0"/>
        <w:rPr>
          <w:sz w:val="20"/>
          <w:szCs w:val="20"/>
          <w:color w:val="auto"/>
        </w:rPr>
      </w:pPr>
      <w:r>
        <w:rPr>
          <w:rFonts w:ascii="Arial" w:cs="Arial" w:eastAsia="Arial" w:hAnsi="Arial"/>
          <w:sz w:val="20"/>
          <w:szCs w:val="20"/>
          <w:color w:val="auto"/>
        </w:rPr>
        <w:t>discrimination in employment, and/or any Claims to attorneys’ fees or costs under such statutes and laws;</w:t>
      </w:r>
    </w:p>
    <w:p>
      <w:pPr>
        <w:spacing w:after="0" w:line="216" w:lineRule="exact"/>
        <w:rPr>
          <w:sz w:val="20"/>
          <w:szCs w:val="20"/>
          <w:color w:val="auto"/>
        </w:rPr>
      </w:pPr>
    </w:p>
    <w:p>
      <w:pPr>
        <w:ind w:left="1080" w:right="20" w:hanging="644"/>
        <w:spacing w:after="0" w:line="278" w:lineRule="auto"/>
        <w:tabs>
          <w:tab w:leader="none" w:pos="10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Claims under the Pennsylvania Human Relations Act, 43 Pa. Cons. Stat. §§ 951 – 963, the Pennsylvania Minimum Wage Act, 43 Pa. Cons. Stat. §§333.101 -333.115, the Pennsylvania Wage Payment and Collection Law, 43 Pa. Cons. Stat. § 260.1 et seq., the Pennsylvania Whistleblower Law, and any other Claims under any Pennsylvania statutes, as well as any other state or local law, statute, ordinance, rule, regulation or executive order relating to employment and/or discrimination in employment, and/or any Claims to attorneys’ fees or costs under such statutes and laws;</w:t>
      </w:r>
    </w:p>
    <w:p>
      <w:pPr>
        <w:spacing w:after="0" w:line="164" w:lineRule="exact"/>
        <w:rPr>
          <w:rFonts w:ascii="Arial" w:cs="Arial" w:eastAsia="Arial" w:hAnsi="Arial"/>
          <w:sz w:val="18"/>
          <w:szCs w:val="18"/>
          <w:color w:val="auto"/>
        </w:rPr>
      </w:pPr>
    </w:p>
    <w:p>
      <w:pPr>
        <w:ind w:left="1080" w:right="280" w:hanging="644"/>
        <w:spacing w:after="0" w:line="250" w:lineRule="auto"/>
        <w:tabs>
          <w:tab w:leader="none" w:pos="107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Claims for intentional torts, negligence, negligent or intentional infliction of emotional distress, personal, emotional or physical injury, fraud, defamation, libel, slander, misrepresentation, violation of public policy, invasion of privacy, or any other statutory or common law tort theory of recovery; and</w:t>
      </w:r>
    </w:p>
    <w:p>
      <w:pPr>
        <w:spacing w:after="0" w:line="185" w:lineRule="exact"/>
        <w:rPr>
          <w:rFonts w:ascii="Arial" w:cs="Arial" w:eastAsia="Arial" w:hAnsi="Arial"/>
          <w:sz w:val="20"/>
          <w:szCs w:val="20"/>
          <w:color w:val="auto"/>
        </w:rPr>
      </w:pPr>
    </w:p>
    <w:p>
      <w:pPr>
        <w:ind w:left="1080" w:right="260" w:hanging="644"/>
        <w:spacing w:after="0" w:line="250" w:lineRule="auto"/>
        <w:tabs>
          <w:tab w:leader="none" w:pos="1075" w:val="left"/>
        </w:tabs>
        <w:numPr>
          <w:ilvl w:val="0"/>
          <w:numId w:val="44"/>
        </w:numPr>
        <w:rPr>
          <w:rFonts w:ascii="Arial" w:cs="Arial" w:eastAsia="Arial" w:hAnsi="Arial"/>
          <w:sz w:val="20"/>
          <w:szCs w:val="20"/>
          <w:color w:val="auto"/>
        </w:rPr>
      </w:pPr>
      <w:r>
        <w:rPr>
          <w:rFonts w:ascii="Arial" w:cs="Arial" w:eastAsia="Arial" w:hAnsi="Arial"/>
          <w:sz w:val="20"/>
          <w:szCs w:val="20"/>
          <w:color w:val="auto"/>
        </w:rPr>
        <w:t>Claims arising under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 or pertaining to ERISA-regulated benefits, including any claims for severance pay, welfare benefits, unvested retirement benefits or other remuneration or benefits of any kind or character.</w:t>
      </w:r>
    </w:p>
    <w:p>
      <w:pPr>
        <w:spacing w:after="0" w:line="179" w:lineRule="exact"/>
        <w:rPr>
          <w:rFonts w:ascii="Arial" w:cs="Arial" w:eastAsia="Arial" w:hAnsi="Arial"/>
          <w:sz w:val="20"/>
          <w:szCs w:val="20"/>
          <w:color w:val="auto"/>
        </w:rPr>
      </w:pPr>
    </w:p>
    <w:p>
      <w:pPr>
        <w:ind w:left="-220" w:firstLine="824"/>
        <w:spacing w:after="0" w:line="248" w:lineRule="auto"/>
        <w:tabs>
          <w:tab w:leader="none" w:pos="1068" w:val="left"/>
        </w:tabs>
        <w:numPr>
          <w:ilvl w:val="1"/>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Unknown Claims</w:t>
      </w:r>
      <w:r>
        <w:rPr>
          <w:rFonts w:ascii="Arial" w:cs="Arial" w:eastAsia="Arial" w:hAnsi="Arial"/>
          <w:sz w:val="20"/>
          <w:szCs w:val="20"/>
          <w:color w:val="auto"/>
        </w:rPr>
        <w:t>. Executive acknowledges that Executive is releasing claims that Executive may not know about,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does so with knowing and voluntary intent. Executive expressly waives all rights that Executive may have under any law that is intended to protect Executive from waiving unknown Claims. Executive further acknowledges that Executive understands the significance of doing so.</w:t>
      </w:r>
    </w:p>
    <w:p>
      <w:pPr>
        <w:spacing w:after="0" w:line="183" w:lineRule="exact"/>
        <w:rPr>
          <w:rFonts w:ascii="Arial" w:cs="Arial" w:eastAsia="Arial" w:hAnsi="Arial"/>
          <w:sz w:val="20"/>
          <w:szCs w:val="20"/>
          <w:color w:val="auto"/>
        </w:rPr>
      </w:pPr>
    </w:p>
    <w:p>
      <w:pPr>
        <w:ind w:left="-220" w:right="100" w:firstLine="818"/>
        <w:spacing w:after="0" w:line="293" w:lineRule="auto"/>
        <w:tabs>
          <w:tab w:leader="none" w:pos="1076" w:val="left"/>
        </w:tabs>
        <w:numPr>
          <w:ilvl w:val="1"/>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No Claims Filed</w:t>
      </w:r>
      <w:r>
        <w:rPr>
          <w:rFonts w:ascii="Arial" w:cs="Arial" w:eastAsia="Arial" w:hAnsi="Arial"/>
          <w:sz w:val="19"/>
          <w:szCs w:val="19"/>
          <w:color w:val="auto"/>
        </w:rPr>
        <w:t>. Executive affirms that, as of the date of execution of this Release, Executive has filed no lawsuit, charge,</w:t>
      </w:r>
      <w:r>
        <w:rPr>
          <w:rFonts w:ascii="Arial" w:cs="Arial" w:eastAsia="Arial" w:hAnsi="Arial"/>
          <w:sz w:val="19"/>
          <w:szCs w:val="19"/>
          <w:b w:val="1"/>
          <w:bCs w:val="1"/>
          <w:color w:val="auto"/>
        </w:rPr>
        <w:t xml:space="preserve"> </w:t>
      </w:r>
      <w:r>
        <w:rPr>
          <w:rFonts w:ascii="Arial" w:cs="Arial" w:eastAsia="Arial" w:hAnsi="Arial"/>
          <w:sz w:val="19"/>
          <w:szCs w:val="19"/>
          <w:color w:val="auto"/>
        </w:rPr>
        <w:t>claim or complaint with any governmental agency or in any court against the Company or any of the other Releasees.</w:t>
      </w:r>
    </w:p>
    <w:p>
      <w:pPr>
        <w:spacing w:after="0" w:line="141" w:lineRule="exact"/>
        <w:rPr>
          <w:rFonts w:ascii="Arial" w:cs="Arial" w:eastAsia="Arial" w:hAnsi="Arial"/>
          <w:sz w:val="19"/>
          <w:szCs w:val="19"/>
          <w:color w:val="auto"/>
        </w:rPr>
      </w:pPr>
    </w:p>
    <w:p>
      <w:pPr>
        <w:ind w:left="-220" w:right="80" w:firstLine="818"/>
        <w:spacing w:after="0" w:line="277" w:lineRule="auto"/>
        <w:tabs>
          <w:tab w:leader="none" w:pos="1076"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Exclusions for Certain Claims</w:t>
      </w:r>
      <w:r>
        <w:rPr>
          <w:rFonts w:ascii="Arial" w:cs="Arial" w:eastAsia="Arial" w:hAnsi="Arial"/>
          <w:sz w:val="18"/>
          <w:szCs w:val="18"/>
          <w:color w:val="auto"/>
        </w:rPr>
        <w:t>. Notwithstanding the foregoing, Executive and the Company agree that this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excludes (i) Executive’s rights and the Company’s obligations under the Transition Agreement, (ii) applicable statutory rights to indemnification for actions taken within the scope of his employment and his service as an officer or director of the Company or any of its subsidiaries, which shall include the availability of all insurance coverage that may apply to such claims, and (iii) claims that may not, as a matter of law, be released. Further, Executive and the Company agree that nothing herein shall be construed to prevent Executive from enforcing rights, if any, under ERISA to recover any vested benefits or instituting any action to enforce the terms of this Release.</w:t>
      </w:r>
    </w:p>
    <w:p>
      <w:pPr>
        <w:spacing w:after="0" w:line="159" w:lineRule="exact"/>
        <w:rPr>
          <w:rFonts w:ascii="Arial" w:cs="Arial" w:eastAsia="Arial" w:hAnsi="Arial"/>
          <w:sz w:val="18"/>
          <w:szCs w:val="18"/>
          <w:color w:val="auto"/>
        </w:rPr>
      </w:pPr>
    </w:p>
    <w:p>
      <w:pPr>
        <w:ind w:left="-220" w:right="100" w:firstLine="818"/>
        <w:spacing w:after="0" w:line="259" w:lineRule="auto"/>
        <w:tabs>
          <w:tab w:leader="none" w:pos="1076" w:val="left"/>
        </w:tabs>
        <w:numPr>
          <w:ilvl w:val="1"/>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Government Investigations</w:t>
      </w:r>
      <w:r>
        <w:rPr>
          <w:rFonts w:ascii="Arial" w:cs="Arial" w:eastAsia="Arial" w:hAnsi="Arial"/>
          <w:sz w:val="19"/>
          <w:szCs w:val="19"/>
          <w:color w:val="auto"/>
        </w:rPr>
        <w:t>. The parties agree that nothing in this Release shall be construed to prohibit Executive from</w:t>
      </w:r>
      <w:r>
        <w:rPr>
          <w:rFonts w:ascii="Arial" w:cs="Arial" w:eastAsia="Arial" w:hAnsi="Arial"/>
          <w:sz w:val="19"/>
          <w:szCs w:val="19"/>
          <w:b w:val="1"/>
          <w:bCs w:val="1"/>
          <w:color w:val="auto"/>
        </w:rPr>
        <w:t xml:space="preserve"> </w:t>
      </w:r>
      <w:r>
        <w:rPr>
          <w:rFonts w:ascii="Arial" w:cs="Arial" w:eastAsia="Arial" w:hAnsi="Arial"/>
          <w:sz w:val="19"/>
          <w:szCs w:val="19"/>
          <w:color w:val="auto"/>
        </w:rPr>
        <w:t>filing a charge with the Equal Employment Opportunity Commission (hereinafter “</w:t>
      </w:r>
      <w:r>
        <w:rPr>
          <w:rFonts w:ascii="Arial" w:cs="Arial" w:eastAsia="Arial" w:hAnsi="Arial"/>
          <w:sz w:val="19"/>
          <w:szCs w:val="19"/>
          <w:u w:val="single" w:color="auto"/>
          <w:color w:val="auto"/>
        </w:rPr>
        <w:t>EEOC</w:t>
      </w:r>
      <w:r>
        <w:rPr>
          <w:rFonts w:ascii="Arial" w:cs="Arial" w:eastAsia="Arial" w:hAnsi="Arial"/>
          <w:sz w:val="19"/>
          <w:szCs w:val="19"/>
          <w:color w:val="auto"/>
        </w:rPr>
        <w:t>”) to enforce the ADEA and other laws, the Securities Exchange Commission or other similar governmental agency, or from participating in investigations with such entities. However, Executive acknowledges that by executing this Release, Executive waives his right to seek or accept individual remedies or monetary damages in any such action or lawsuit arising from such charges or investigations, or in connection with any complaint or charge that Executive may file with an administrative agency, including, but not limited to, reinstatement, back pay, front pay, damages, attorneys’ fees or experts’ fees, except with respect to any monetary recovery under the Dodd-Frank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60"/>
          </w:cols>
          <w:pgMar w:left="540" w:top="1419" w:right="399" w:bottom="1440" w:gutter="0" w:footer="0" w:header="0"/>
        </w:sectPr>
      </w:pPr>
    </w:p>
    <w:bookmarkStart w:id="97" w:name="page98"/>
    <w:bookmarkEnd w:id="97"/>
    <w:p>
      <w:pPr>
        <w:ind w:right="300"/>
        <w:spacing w:after="0" w:line="246" w:lineRule="auto"/>
        <w:rPr>
          <w:sz w:val="20"/>
          <w:szCs w:val="20"/>
          <w:color w:val="auto"/>
        </w:rPr>
      </w:pPr>
      <w:r>
        <w:rPr>
          <w:rFonts w:ascii="Arial" w:cs="Arial" w:eastAsia="Arial" w:hAnsi="Arial"/>
          <w:sz w:val="20"/>
          <w:szCs w:val="20"/>
          <w:color w:val="auto"/>
        </w:rPr>
        <w:t>Street Reform and Consumer Protection Act and the Sarbanes-Oxley Act of 2002 or Section 21F of the Securities Exchange Act of 1934. Executive further agrees that if any person, organization or other entity should bring a claim against the Releasees involving any matter covered by this Release, Executive will not accept any personal relief in any such action, including damages, attorneys’ fees, costs and all other legal or equitable relief.</w:t>
      </w:r>
    </w:p>
    <w:p>
      <w:pPr>
        <w:spacing w:after="0" w:line="191" w:lineRule="exact"/>
        <w:rPr>
          <w:sz w:val="20"/>
          <w:szCs w:val="20"/>
          <w:color w:val="auto"/>
        </w:rPr>
      </w:pPr>
    </w:p>
    <w:p>
      <w:pPr>
        <w:ind w:firstLine="198"/>
        <w:spacing w:after="0" w:line="260" w:lineRule="auto"/>
        <w:rPr>
          <w:sz w:val="20"/>
          <w:szCs w:val="20"/>
          <w:color w:val="auto"/>
        </w:rPr>
      </w:pPr>
      <w:r>
        <w:rPr>
          <w:rFonts w:ascii="Arial" w:cs="Arial" w:eastAsia="Arial" w:hAnsi="Arial"/>
          <w:sz w:val="19"/>
          <w:szCs w:val="19"/>
          <w:color w:val="auto"/>
        </w:rPr>
        <w:t>Executive further understands that nothing contained herein is intended to interfere with or discourage Executive’s good faith disclosure to any governmental entity regarding possible legal violations or otherwise testifying or participating in any investigation or proceeding by any governmental authorities regarding possible legal violations, and nothing contained herein waives or releases Executive’s right to receive money for disclosing such information to a government agency. Executive further understands that Executive will not be subject to retaliation by the Company for a disclosure made pursuant to this paragraph.</w:t>
      </w:r>
    </w:p>
    <w:p>
      <w:pPr>
        <w:spacing w:after="0" w:line="174" w:lineRule="exact"/>
        <w:rPr>
          <w:sz w:val="20"/>
          <w:szCs w:val="20"/>
          <w:color w:val="auto"/>
        </w:rPr>
      </w:pPr>
    </w:p>
    <w:p>
      <w:pPr>
        <w:jc w:val="both"/>
        <w:ind w:right="200" w:firstLine="818"/>
        <w:spacing w:after="0" w:line="253" w:lineRule="auto"/>
        <w:tabs>
          <w:tab w:leader="none" w:pos="1296" w:val="left"/>
        </w:tabs>
        <w:numPr>
          <w:ilvl w:val="1"/>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ADEA/OWBPA Waiver and Acknowledgement</w:t>
      </w:r>
      <w:r>
        <w:rPr>
          <w:rFonts w:ascii="Arial" w:cs="Arial" w:eastAsia="Arial" w:hAnsi="Arial"/>
          <w:sz w:val="20"/>
          <w:szCs w:val="20"/>
          <w:color w:val="auto"/>
        </w:rPr>
        <w:t>. Executive and the Company desire and intend that this Release comply</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terms of the Older Workers’ Benefit Protection Act. Accordingly, Executive acknowledges that Executive has been advised of the following rights:</w:t>
      </w:r>
    </w:p>
    <w:p>
      <w:pPr>
        <w:spacing w:after="0" w:line="183" w:lineRule="exact"/>
        <w:rPr>
          <w:rFonts w:ascii="Arial" w:cs="Arial" w:eastAsia="Arial" w:hAnsi="Arial"/>
          <w:sz w:val="20"/>
          <w:szCs w:val="20"/>
          <w:color w:val="auto"/>
        </w:rPr>
      </w:pPr>
    </w:p>
    <w:p>
      <w:pPr>
        <w:ind w:left="1300" w:right="320" w:hanging="644"/>
        <w:spacing w:after="0" w:line="246" w:lineRule="auto"/>
        <w:tabs>
          <w:tab w:leader="none" w:pos="1290" w:val="left"/>
        </w:tabs>
        <w:numPr>
          <w:ilvl w:val="0"/>
          <w:numId w:val="46"/>
        </w:numPr>
        <w:rPr>
          <w:rFonts w:ascii="Arial" w:cs="Arial" w:eastAsia="Arial" w:hAnsi="Arial"/>
          <w:sz w:val="20"/>
          <w:szCs w:val="20"/>
          <w:color w:val="auto"/>
        </w:rPr>
      </w:pPr>
      <w:r>
        <w:rPr>
          <w:rFonts w:ascii="Arial" w:cs="Arial" w:eastAsia="Arial" w:hAnsi="Arial"/>
          <w:sz w:val="20"/>
          <w:szCs w:val="20"/>
          <w:color w:val="auto"/>
        </w:rPr>
        <w:t>Executive understands that state and federal laws, including the AGE DISCRIMINATION IN EMPLOYMENT ACT, prohibit employment discrimination based upon age, sex, race, color, national origin, ethnicity, religion, or disability. Executive further understands and agrees that, by signing this Release, Executive agrees to waive any and all such claims and releases the Company from any and all such claims.</w:t>
      </w:r>
    </w:p>
    <w:p>
      <w:pPr>
        <w:spacing w:after="0" w:line="191" w:lineRule="exact"/>
        <w:rPr>
          <w:rFonts w:ascii="Arial" w:cs="Arial" w:eastAsia="Arial" w:hAnsi="Arial"/>
          <w:sz w:val="20"/>
          <w:szCs w:val="20"/>
          <w:color w:val="auto"/>
        </w:rPr>
      </w:pPr>
    </w:p>
    <w:p>
      <w:pPr>
        <w:ind w:left="1300" w:right="40" w:hanging="644"/>
        <w:spacing w:after="0" w:line="250" w:lineRule="auto"/>
        <w:tabs>
          <w:tab w:leader="none" w:pos="1288" w:val="left"/>
        </w:tabs>
        <w:numPr>
          <w:ilvl w:val="0"/>
          <w:numId w:val="46"/>
        </w:numPr>
        <w:rPr>
          <w:rFonts w:ascii="Arial" w:cs="Arial" w:eastAsia="Arial" w:hAnsi="Arial"/>
          <w:sz w:val="20"/>
          <w:szCs w:val="20"/>
          <w:color w:val="auto"/>
        </w:rPr>
      </w:pPr>
      <w:r>
        <w:rPr>
          <w:rFonts w:ascii="Arial" w:cs="Arial" w:eastAsia="Arial" w:hAnsi="Arial"/>
          <w:sz w:val="20"/>
          <w:szCs w:val="20"/>
          <w:color w:val="auto"/>
        </w:rPr>
        <w:t>Executive acknowledges that Executive has been advised in writing to consult with an attorney and has been provided with a reasonable opportunity to consult with an attorney concerning the terms and conditions of this Release prior to signing this Release, which contains a general release and waiver of claims.</w:t>
      </w:r>
    </w:p>
    <w:p>
      <w:pPr>
        <w:spacing w:after="0" w:line="185" w:lineRule="exact"/>
        <w:rPr>
          <w:rFonts w:ascii="Arial" w:cs="Arial" w:eastAsia="Arial" w:hAnsi="Arial"/>
          <w:sz w:val="20"/>
          <w:szCs w:val="20"/>
          <w:color w:val="auto"/>
        </w:rPr>
      </w:pPr>
    </w:p>
    <w:p>
      <w:pPr>
        <w:jc w:val="both"/>
        <w:ind w:left="1300" w:right="360" w:hanging="644"/>
        <w:spacing w:after="0" w:line="250" w:lineRule="auto"/>
        <w:tabs>
          <w:tab w:leader="none" w:pos="1290" w:val="left"/>
        </w:tabs>
        <w:numPr>
          <w:ilvl w:val="0"/>
          <w:numId w:val="46"/>
        </w:numPr>
        <w:rPr>
          <w:rFonts w:ascii="Arial" w:cs="Arial" w:eastAsia="Arial" w:hAnsi="Arial"/>
          <w:sz w:val="20"/>
          <w:szCs w:val="20"/>
          <w:color w:val="auto"/>
        </w:rPr>
      </w:pPr>
      <w:r>
        <w:rPr>
          <w:rFonts w:ascii="Arial" w:cs="Arial" w:eastAsia="Arial" w:hAnsi="Arial"/>
          <w:sz w:val="20"/>
          <w:szCs w:val="20"/>
          <w:color w:val="auto"/>
        </w:rPr>
        <w:t>Executive acknowledges that the Severance Benefits being provided to Executive pursuant to the terms of the Transition Agreement constitute benefits to which Executive otherwise would not be entitled, and that Executive has been provided with adequate and valuable consideration for signing this Release.</w:t>
      </w:r>
    </w:p>
    <w:p>
      <w:pPr>
        <w:spacing w:after="0" w:line="185" w:lineRule="exact"/>
        <w:rPr>
          <w:rFonts w:ascii="Arial" w:cs="Arial" w:eastAsia="Arial" w:hAnsi="Arial"/>
          <w:sz w:val="20"/>
          <w:szCs w:val="20"/>
          <w:color w:val="auto"/>
        </w:rPr>
      </w:pPr>
    </w:p>
    <w:p>
      <w:pPr>
        <w:ind w:left="1300" w:right="460" w:hanging="644"/>
        <w:spacing w:after="0" w:line="260" w:lineRule="auto"/>
        <w:tabs>
          <w:tab w:leader="none" w:pos="1288" w:val="left"/>
        </w:tabs>
        <w:numPr>
          <w:ilvl w:val="0"/>
          <w:numId w:val="46"/>
        </w:numPr>
        <w:rPr>
          <w:rFonts w:ascii="Arial" w:cs="Arial" w:eastAsia="Arial" w:hAnsi="Arial"/>
          <w:sz w:val="20"/>
          <w:szCs w:val="20"/>
          <w:color w:val="auto"/>
        </w:rPr>
      </w:pPr>
      <w:r>
        <w:rPr>
          <w:rFonts w:ascii="Arial" w:cs="Arial" w:eastAsia="Arial" w:hAnsi="Arial"/>
          <w:sz w:val="20"/>
          <w:szCs w:val="20"/>
          <w:color w:val="auto"/>
        </w:rPr>
        <w:t>Executive acknowledges that Executive has at least TWENTY-ONE (21) DAYS after receiving this Release to consider whether to sign this Release.</w:t>
      </w:r>
    </w:p>
    <w:p>
      <w:pPr>
        <w:spacing w:after="0" w:line="176" w:lineRule="exact"/>
        <w:rPr>
          <w:rFonts w:ascii="Arial" w:cs="Arial" w:eastAsia="Arial" w:hAnsi="Arial"/>
          <w:sz w:val="20"/>
          <w:szCs w:val="20"/>
          <w:color w:val="auto"/>
        </w:rPr>
      </w:pPr>
    </w:p>
    <w:p>
      <w:pPr>
        <w:ind w:left="1300" w:right="320" w:hanging="644"/>
        <w:spacing w:after="0" w:line="278"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acknowledges that, in the event that Executive signs this Release, Executive has another SEVEN (7) DAYS to revoke it. To revoke this Release, Executive must deliver a written notice of revocation to Ms. Nicole B. Theophilus, Executive Vice President, Chief Human Resources Officer, Wabtec Corp., 1001 Air Brake Avenue, Wilmerding, Pennsylvania 15148, prior to 5 PM Eastern Time on the seventh day after signing this Release. THIS RELEASE SHALL NOT BECOME EFFECTIVE UNTIL AFTER THE EXPIRATION OF THIS SEVEN (7) DAY PERIOD.</w:t>
      </w:r>
    </w:p>
    <w:p>
      <w:pPr>
        <w:spacing w:after="0" w:line="158" w:lineRule="exact"/>
        <w:rPr>
          <w:rFonts w:ascii="Arial" w:cs="Arial" w:eastAsia="Arial" w:hAnsi="Arial"/>
          <w:sz w:val="18"/>
          <w:szCs w:val="18"/>
          <w:color w:val="auto"/>
        </w:rPr>
      </w:pPr>
    </w:p>
    <w:p>
      <w:pPr>
        <w:jc w:val="both"/>
        <w:ind w:right="160" w:firstLine="818"/>
        <w:spacing w:after="0" w:line="294" w:lineRule="auto"/>
        <w:tabs>
          <w:tab w:leader="none" w:pos="1494"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Release will be governed by and construed in accordance with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without giving effect to any choice of law or conflicting provision or rule (whether of the Commonwealth of Pennsylvania or any other jurisdiction) that would cause the laws of any jurisdiction other than the Commonwealth of Pennsylvania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9" w:right="359" w:bottom="1440" w:gutter="0" w:footer="0" w:header="0"/>
        </w:sectPr>
      </w:pPr>
    </w:p>
    <w:bookmarkStart w:id="98" w:name="page99"/>
    <w:bookmarkEnd w:id="98"/>
    <w:p>
      <w:pPr>
        <w:ind w:right="100"/>
        <w:spacing w:after="0" w:line="259" w:lineRule="auto"/>
        <w:rPr>
          <w:sz w:val="20"/>
          <w:szCs w:val="20"/>
          <w:color w:val="auto"/>
        </w:rPr>
      </w:pPr>
      <w:r>
        <w:rPr>
          <w:rFonts w:ascii="Arial" w:cs="Arial" w:eastAsia="Arial" w:hAnsi="Arial"/>
          <w:sz w:val="19"/>
          <w:szCs w:val="19"/>
          <w:color w:val="auto"/>
        </w:rPr>
        <w:t>applied. In furtherance of the foregoing, the internal law of the Commonwealth of Pennsylvania will control the interpretation and construction of this Release, even if under such jurisdiction’s choice of law or conflict of law analysis, the substantive law of some other jurisdiction would ordinarily apply. Further, to the extent that Executive or the Company is required to initiate legal action to enforce any right or obligation under this Release, Executive and the Company agree that any such litigation shall be filed and determined by the United States District Court for the Western District of Pennsylvania or the Court of Common Pleas for Allegheny County; and both Executive and the Company consent to the exclusive personal jurisdiction of such courts.</w:t>
      </w:r>
    </w:p>
    <w:p>
      <w:pPr>
        <w:spacing w:after="0" w:line="172" w:lineRule="exact"/>
        <w:rPr>
          <w:sz w:val="20"/>
          <w:szCs w:val="20"/>
          <w:color w:val="auto"/>
        </w:rPr>
      </w:pPr>
    </w:p>
    <w:p>
      <w:pPr>
        <w:jc w:val="both"/>
        <w:ind w:firstLine="818"/>
        <w:spacing w:after="0" w:line="294" w:lineRule="auto"/>
        <w:tabs>
          <w:tab w:leader="none" w:pos="1494"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Release are severable, and if any part or portion of it is found to be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paragraphs shall remain fully valid and enforceable. The waiver of a breach of any of the provisions of this Release shall not operate or be construed as a waiver of any other provision of this Release or a waiver of any subsequent breach of the same provision.</w:t>
      </w:r>
    </w:p>
    <w:p>
      <w:pPr>
        <w:spacing w:after="0" w:line="143" w:lineRule="exact"/>
        <w:rPr>
          <w:rFonts w:ascii="Arial" w:cs="Arial" w:eastAsia="Arial" w:hAnsi="Arial"/>
          <w:sz w:val="18"/>
          <w:szCs w:val="18"/>
          <w:color w:val="auto"/>
        </w:rPr>
      </w:pPr>
    </w:p>
    <w:p>
      <w:pPr>
        <w:ind w:firstLine="818"/>
        <w:spacing w:after="0" w:line="277" w:lineRule="auto"/>
        <w:tabs>
          <w:tab w:leader="none" w:pos="1494"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Execution</w:t>
      </w:r>
      <w:r>
        <w:rPr>
          <w:rFonts w:ascii="Arial" w:cs="Arial" w:eastAsia="Arial" w:hAnsi="Arial"/>
          <w:sz w:val="18"/>
          <w:szCs w:val="18"/>
          <w:color w:val="auto"/>
        </w:rPr>
        <w:t>. Executive acknowledges that Executive is executing this Release voluntarily and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own free will and that Executive fully understands and intends to be bound by the terms of this Release. Further, Executive acknowledges that Executive received a copy of this Release on November ___, 2020, that Executive has carefully read and fully understands all of the provisions and effects of this Release; that Executive has been advised to consult with an attorney prior to executing this Release; that Executive participated in the creation of and is voluntarily entering into this Release; and that neither the Company nor its agents or attorneys have made any representations or promises as to the terms or effects of this Release other than those contained in this Release.</w:t>
      </w:r>
    </w:p>
    <w:p>
      <w:pPr>
        <w:spacing w:after="0" w:line="159" w:lineRule="exact"/>
        <w:rPr>
          <w:rFonts w:ascii="Arial" w:cs="Arial" w:eastAsia="Arial" w:hAnsi="Arial"/>
          <w:sz w:val="18"/>
          <w:szCs w:val="18"/>
          <w:color w:val="auto"/>
        </w:rPr>
      </w:pPr>
    </w:p>
    <w:p>
      <w:pPr>
        <w:ind w:right="300" w:firstLine="818"/>
        <w:spacing w:after="0" w:line="267" w:lineRule="auto"/>
        <w:tabs>
          <w:tab w:leader="none" w:pos="1287"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No Assignment of Claims</w:t>
      </w:r>
      <w:r>
        <w:rPr>
          <w:rFonts w:ascii="Arial" w:cs="Arial" w:eastAsia="Arial" w:hAnsi="Arial"/>
          <w:sz w:val="20"/>
          <w:szCs w:val="20"/>
          <w:color w:val="auto"/>
        </w:rPr>
        <w:t>. Executive represents and warrants that Executive has not previously assigned or purported to</w:t>
      </w:r>
      <w:r>
        <w:rPr>
          <w:rFonts w:ascii="Arial" w:cs="Arial" w:eastAsia="Arial" w:hAnsi="Arial"/>
          <w:sz w:val="20"/>
          <w:szCs w:val="20"/>
          <w:b w:val="1"/>
          <w:bCs w:val="1"/>
          <w:color w:val="auto"/>
        </w:rPr>
        <w:t xml:space="preserve"> </w:t>
      </w:r>
      <w:r>
        <w:rPr>
          <w:rFonts w:ascii="Arial" w:cs="Arial" w:eastAsia="Arial" w:hAnsi="Arial"/>
          <w:sz w:val="20"/>
          <w:szCs w:val="20"/>
          <w:color w:val="auto"/>
        </w:rPr>
        <w:t>assign or transfer to any person or entity any of the claims or causes of action herein released.</w:t>
      </w:r>
    </w:p>
    <w:p>
      <w:pPr>
        <w:spacing w:after="0" w:line="16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THIS RELEASE SHALL BECOME EFFECTIVE AND ENFORCEABLE ON THE EIGHTH DAY FOLLOWING ITS EXECUTION BY EXECUTIVE, PROVIDED HE DOES NOT EXERCISE HIS RIGHT OF REVOCATION AS DESCRIBED ABOVE. IF EXECUTIVE FAILS TO SIGN AND DELIVER THIS RELEASE OR REVOKES HIS SIGNATURE, THIS RELEASE WILL BE WITHOUT FORCE OR EFFECT, AND EXECUTIVE SHALL NOT BE ENTITLED TO THE SEVERANCE BENEFITS.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[Signature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19"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Executive has executed and delivered this Release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20"/>
                <w:szCs w:val="20"/>
                <w:color w:val="auto"/>
                <w:w w:val="99"/>
              </w:rPr>
              <w:t>Dated: _November 25, 2020___________</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Scott E. Wahlstrom</w:t>
            </w:r>
          </w:p>
        </w:tc>
      </w:tr>
      <w:tr>
        <w:trPr>
          <w:trHeight w:val="268"/>
        </w:trPr>
        <w:tc>
          <w:tcPr>
            <w:tcW w:w="3740" w:type="dxa"/>
            <w:vAlign w:val="bottom"/>
          </w:tcPr>
          <w:p>
            <w:pPr>
              <w:ind w:left="1400"/>
              <w:spacing w:after="0"/>
              <w:rPr>
                <w:sz w:val="20"/>
                <w:szCs w:val="20"/>
                <w:color w:val="auto"/>
              </w:rPr>
            </w:pPr>
            <w:r>
              <w:rPr>
                <w:rFonts w:ascii="Arial" w:cs="Arial" w:eastAsia="Arial" w:hAnsi="Arial"/>
                <w:sz w:val="20"/>
                <w:szCs w:val="20"/>
                <w:color w:val="auto"/>
                <w:w w:val="98"/>
              </w:rPr>
              <w:t>Name: Scott E. Wahlstrom</w:t>
            </w:r>
          </w:p>
        </w:tc>
        <w:tc>
          <w:tcPr>
            <w:tcW w:w="2380" w:type="dxa"/>
            <w:vAlign w:val="bottom"/>
          </w:tcPr>
          <w:p>
            <w:pPr>
              <w:spacing w:after="0"/>
              <w:rPr>
                <w:sz w:val="23"/>
                <w:szCs w:val="23"/>
                <w:color w:val="auto"/>
              </w:rPr>
            </w:pPr>
          </w:p>
        </w:tc>
      </w:tr>
      <w:tr>
        <w:trPr>
          <w:trHeight w:val="486"/>
        </w:trPr>
        <w:tc>
          <w:tcPr>
            <w:tcW w:w="3740" w:type="dxa"/>
            <w:vAlign w:val="bottom"/>
          </w:tcPr>
          <w:p>
            <w:pPr>
              <w:spacing w:after="0"/>
              <w:rPr>
                <w:sz w:val="20"/>
                <w:szCs w:val="20"/>
                <w:color w:val="auto"/>
              </w:rPr>
            </w:pPr>
            <w:r>
              <w:rPr>
                <w:rFonts w:ascii="Arial" w:cs="Arial" w:eastAsia="Arial" w:hAnsi="Arial"/>
                <w:sz w:val="20"/>
                <w:szCs w:val="20"/>
                <w:color w:val="auto"/>
              </w:rPr>
              <w:t>Acknowledged and Agreed:</w:t>
            </w:r>
          </w:p>
        </w:tc>
        <w:tc>
          <w:tcPr>
            <w:tcW w:w="2380" w:type="dxa"/>
            <w:vAlign w:val="bottom"/>
          </w:tcPr>
          <w:p>
            <w:pPr>
              <w:spacing w:after="0"/>
              <w:rPr>
                <w:sz w:val="24"/>
                <w:szCs w:val="24"/>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Westinghouse Air Brake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Technologies Corporation</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20"/>
          <w:szCs w:val="20"/>
          <w:color w:val="auto"/>
        </w:rPr>
        <w:t>By:_ /s/ Nicole B. Theophilus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1511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151130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20"/>
          <w:szCs w:val="20"/>
          <w:color w:val="auto"/>
        </w:rPr>
        <w:t>Name: Nicole B. Theophilus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 Executive Vice President,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[Signature Page to Release – Wahlstrom]</w:t>
      </w:r>
    </w:p>
    <w:p>
      <w:pPr>
        <w:sectPr>
          <w:pgSz w:w="11900" w:h="16838" w:orient="portrait"/>
          <w:cols w:equalWidth="0" w:num="1">
            <w:col w:w="10139"/>
          </w:cols>
          <w:pgMar w:left="320" w:top="1426" w:right="1440" w:bottom="1440" w:gutter="0" w:footer="0" w:header="0"/>
        </w:sectPr>
      </w:pPr>
    </w:p>
    <w:bookmarkStart w:id="100" w:name="page101"/>
    <w:bookmarkEnd w:id="100"/>
    <w:p>
      <w:pPr>
        <w:jc w:val="center"/>
        <w:ind w:right="-51"/>
        <w:spacing w:after="0"/>
        <w:rPr>
          <w:sz w:val="20"/>
          <w:szCs w:val="20"/>
          <w:color w:val="auto"/>
        </w:rPr>
      </w:pPr>
      <w:r>
        <w:rPr>
          <w:rFonts w:ascii="Arial" w:cs="Arial" w:eastAsia="Arial" w:hAnsi="Arial"/>
          <w:sz w:val="20"/>
          <w:szCs w:val="20"/>
          <w:b w:val="1"/>
          <w:bCs w:val="1"/>
          <w:u w:val="single" w:color="auto"/>
          <w:color w:val="auto"/>
        </w:rPr>
        <w:t>Exhibit B</w:t>
      </w:r>
    </w:p>
    <w:p>
      <w:pPr>
        <w:spacing w:after="0" w:line="121" w:lineRule="exact"/>
        <w:rPr>
          <w:sz w:val="20"/>
          <w:szCs w:val="20"/>
          <w:color w:val="auto"/>
        </w:rPr>
      </w:pPr>
    </w:p>
    <w:p>
      <w:pPr>
        <w:jc w:val="center"/>
        <w:ind w:right="-51"/>
        <w:spacing w:after="0"/>
        <w:rPr>
          <w:sz w:val="20"/>
          <w:szCs w:val="20"/>
          <w:color w:val="auto"/>
        </w:rPr>
      </w:pPr>
      <w:r>
        <w:rPr>
          <w:rFonts w:ascii="Arial" w:cs="Arial" w:eastAsia="Arial" w:hAnsi="Arial"/>
          <w:sz w:val="20"/>
          <w:szCs w:val="20"/>
          <w:b w:val="1"/>
          <w:bCs w:val="1"/>
          <w:color w:val="auto"/>
        </w:rPr>
        <w:t>Severance Benefits</w:t>
      </w:r>
    </w:p>
    <w:p>
      <w:pPr>
        <w:spacing w:after="0" w:line="114" w:lineRule="exact"/>
        <w:rPr>
          <w:sz w:val="20"/>
          <w:szCs w:val="20"/>
          <w:color w:val="auto"/>
        </w:rPr>
      </w:pPr>
    </w:p>
    <w:p>
      <w:pPr>
        <w:ind w:left="652" w:right="40" w:hanging="652"/>
        <w:spacing w:after="0" w:line="287" w:lineRule="auto"/>
        <w:tabs>
          <w:tab w:leader="none" w:pos="6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On July 1, 2021, the Company shall pay to Executive a lump sum cash amount equal to $1,366,720, which equals two times the sum of (a) Executive’s annual Base Salary of $427,100 and (b) Executive’s target bonus amount, which is $256,260.</w:t>
      </w:r>
    </w:p>
    <w:p>
      <w:pPr>
        <w:spacing w:after="0" w:line="152" w:lineRule="exact"/>
        <w:rPr>
          <w:rFonts w:ascii="Arial" w:cs="Arial" w:eastAsia="Arial" w:hAnsi="Arial"/>
          <w:sz w:val="19"/>
          <w:szCs w:val="19"/>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Within 10 days of the Release becoming effective, the Company shall pay to Executive a lump sum cash amount equal to $435,000.</w:t>
      </w:r>
    </w:p>
    <w:p>
      <w:pPr>
        <w:spacing w:after="0" w:line="238" w:lineRule="exact"/>
        <w:rPr>
          <w:rFonts w:ascii="Arial" w:cs="Arial" w:eastAsia="Arial" w:hAnsi="Arial"/>
          <w:sz w:val="18"/>
          <w:szCs w:val="18"/>
          <w:color w:val="auto"/>
        </w:rPr>
      </w:pPr>
    </w:p>
    <w:p>
      <w:pPr>
        <w:ind w:left="652" w:hanging="652"/>
        <w:spacing w:after="0" w:line="243" w:lineRule="auto"/>
        <w:tabs>
          <w:tab w:leader="none" w:pos="652"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Executive shall be entitled to continue participation in the Company’s healthcare plan for a period of 24 months following the Date of Termination. During such period, the Company will pay the same portion of Executive’s premiums as it pays for similarly situated active employees, and such premiums paid with respect to Executive will be treated as taxable to Executive in accordance with applicable law. Executive’s continued eligibility to participate in the Company’s healthcare plan following the Date of Termination will count towards, and run concurrently with, the Company’s obligation to provide Executive with COBRA continuation coverage under Section 4980B of the Internal Revenue Code and Sections 601-607 of the Employee Retirement Income Security Act of 1974, as amended.</w:t>
      </w:r>
    </w:p>
    <w:p>
      <w:pPr>
        <w:spacing w:after="0" w:line="193" w:lineRule="exact"/>
        <w:rPr>
          <w:sz w:val="20"/>
          <w:szCs w:val="20"/>
          <w:color w:val="auto"/>
        </w:rPr>
      </w:pPr>
    </w:p>
    <w:p>
      <w:pPr>
        <w:ind w:left="652" w:right="280" w:hanging="652"/>
        <w:spacing w:after="0" w:line="274"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nonstatutory stock options granted to Executive on February 15, 2011, February 14, 2012, February 12, 2013, February 11, 2014, February 10, 2015, February 9, 2016, February 7, 2017, February 6, 2018, March 6, 2019 and February 7, 2020 (itemized below) shall, to the extent not already fully vested, become fully vested and exercisable as of December 31, 2020, and shall be exercisable at any time prior to December 31, 2021, or if earlier, the expiration date of the stock option; provided, that, if the Company adopts a policy on or prior to December 31, 2021 that applies to the Company’s retiring executives in general, and such policy provides for more favorable treatment with respect to the period of time to exercise stock options after an executive’s retirement, then Executive shall be entitled to such longer period of time provided by</w:t>
      </w:r>
    </w:p>
    <w:p>
      <w:pPr>
        <w:sectPr>
          <w:pgSz w:w="11900" w:h="16838" w:orient="portrait"/>
          <w:cols w:equalWidth="0" w:num="1">
            <w:col w:w="11192"/>
          </w:cols>
          <w:pgMar w:left="328" w:top="1426" w:right="379" w:bottom="1440" w:gutter="0" w:footer="0" w:header="0"/>
        </w:sectPr>
      </w:pPr>
    </w:p>
    <w:bookmarkStart w:id="101" w:name="page102"/>
    <w:bookmarkEnd w:id="101"/>
    <w:p>
      <w:pPr>
        <w:ind w:left="660"/>
        <w:spacing w:after="0" w:line="260" w:lineRule="auto"/>
        <w:rPr>
          <w:sz w:val="20"/>
          <w:szCs w:val="20"/>
          <w:color w:val="auto"/>
        </w:rPr>
      </w:pPr>
      <w:r>
        <w:rPr>
          <w:rFonts w:ascii="Arial" w:cs="Arial" w:eastAsia="Arial" w:hAnsi="Arial"/>
          <w:sz w:val="20"/>
          <w:szCs w:val="20"/>
          <w:color w:val="auto"/>
        </w:rPr>
        <w:t>such policy (but no later than the expiration date of the stock option) to exercise any outstanding options which have not previously been exercised by Executive.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auto"/>
              <w:left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300" w:type="dxa"/>
            <w:vAlign w:val="bottom"/>
            <w:tcBorders>
              <w:top w:val="single" w:sz="8" w:color="auto"/>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040" w:type="dxa"/>
            <w:vAlign w:val="bottom"/>
            <w:tcBorders>
              <w:top w:val="single" w:sz="8" w:color="auto"/>
              <w:right w:val="single" w:sz="8" w:color="auto"/>
            </w:tcBorders>
            <w:gridSpan w:val="6"/>
          </w:tcPr>
          <w:p>
            <w:pPr>
              <w:jc w:val="center"/>
              <w:ind w:right="220"/>
              <w:spacing w:after="0"/>
              <w:rPr>
                <w:sz w:val="20"/>
                <w:szCs w:val="20"/>
                <w:color w:val="auto"/>
              </w:rPr>
            </w:pPr>
            <w:r>
              <w:rPr>
                <w:rFonts w:ascii="Arial" w:cs="Arial" w:eastAsia="Arial" w:hAnsi="Arial"/>
                <w:sz w:val="22"/>
                <w:szCs w:val="22"/>
                <w:b w:val="1"/>
                <w:bCs w:val="1"/>
                <w:color w:val="auto"/>
                <w:w w:val="88"/>
              </w:rPr>
              <w:t>Total Number of Unexercised</w:t>
            </w:r>
          </w:p>
        </w:tc>
        <w:tc>
          <w:tcPr>
            <w:tcW w:w="3360" w:type="dxa"/>
            <w:vAlign w:val="bottom"/>
            <w:tcBorders>
              <w:top w:val="single" w:sz="8" w:color="auto"/>
              <w:right w:val="single" w:sz="8" w:color="auto"/>
            </w:tcBorders>
            <w:gridSpan w:val="7"/>
          </w:tcPr>
          <w:p>
            <w:pPr>
              <w:jc w:val="center"/>
              <w:ind w:right="40"/>
              <w:spacing w:after="0"/>
              <w:rPr>
                <w:sz w:val="20"/>
                <w:szCs w:val="20"/>
                <w:color w:val="auto"/>
              </w:rPr>
            </w:pPr>
            <w:r>
              <w:rPr>
                <w:rFonts w:ascii="Arial" w:cs="Arial" w:eastAsia="Arial" w:hAnsi="Arial"/>
                <w:sz w:val="22"/>
                <w:szCs w:val="22"/>
                <w:b w:val="1"/>
                <w:bCs w:val="1"/>
                <w:color w:val="auto"/>
                <w:w w:val="88"/>
              </w:rPr>
              <w:t>Total Number of Unvested Shares</w:t>
            </w:r>
          </w:p>
        </w:tc>
      </w:tr>
      <w:tr>
        <w:trPr>
          <w:trHeight w:val="250"/>
        </w:trPr>
        <w:tc>
          <w:tcPr>
            <w:tcW w:w="1320" w:type="dxa"/>
            <w:vAlign w:val="bottom"/>
            <w:tcBorders>
              <w:left w:val="single" w:sz="8" w:color="auto"/>
            </w:tcBorders>
          </w:tcPr>
          <w:p>
            <w:pPr>
              <w:spacing w:after="0"/>
              <w:rPr>
                <w:sz w:val="21"/>
                <w:szCs w:val="21"/>
                <w:color w:val="auto"/>
              </w:rPr>
            </w:pPr>
          </w:p>
        </w:tc>
        <w:tc>
          <w:tcPr>
            <w:tcW w:w="1280" w:type="dxa"/>
            <w:vAlign w:val="bottom"/>
          </w:tcPr>
          <w:p>
            <w:pPr>
              <w:spacing w:after="0" w:line="250" w:lineRule="exact"/>
              <w:rPr>
                <w:sz w:val="20"/>
                <w:szCs w:val="20"/>
                <w:color w:val="auto"/>
              </w:rPr>
            </w:pPr>
            <w:r>
              <w:rPr>
                <w:rFonts w:ascii="Arial" w:cs="Arial" w:eastAsia="Arial" w:hAnsi="Arial"/>
                <w:sz w:val="22"/>
                <w:szCs w:val="22"/>
                <w:b w:val="1"/>
                <w:bCs w:val="1"/>
                <w:color w:val="auto"/>
                <w:w w:val="90"/>
              </w:rPr>
              <w:t>Date of Grant</w:t>
            </w:r>
          </w:p>
        </w:tc>
        <w:tc>
          <w:tcPr>
            <w:tcW w:w="1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00" w:type="dxa"/>
            <w:vAlign w:val="bottom"/>
            <w:tcBorders>
              <w:top w:val="single" w:sz="8" w:color="auto"/>
            </w:tcBorders>
            <w:gridSpan w:val="3"/>
          </w:tcPr>
          <w:p>
            <w:pPr>
              <w:jc w:val="center"/>
              <w:spacing w:after="0" w:line="250" w:lineRule="exact"/>
              <w:rPr>
                <w:sz w:val="20"/>
                <w:szCs w:val="20"/>
                <w:color w:val="auto"/>
              </w:rPr>
            </w:pPr>
            <w:r>
              <w:rPr>
                <w:rFonts w:ascii="Arial" w:cs="Arial" w:eastAsia="Arial" w:hAnsi="Arial"/>
                <w:sz w:val="22"/>
                <w:szCs w:val="22"/>
                <w:b w:val="1"/>
                <w:bCs w:val="1"/>
                <w:color w:val="auto"/>
                <w:w w:val="85"/>
              </w:rPr>
              <w:t>Shares Subject to the Stock</w:t>
            </w:r>
          </w:p>
        </w:tc>
        <w:tc>
          <w:tcPr>
            <w:tcW w:w="280" w:type="dxa"/>
            <w:vAlign w:val="bottom"/>
            <w:tcBorders>
              <w:right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tcBorders>
              <w:top w:val="single" w:sz="8" w:color="auto"/>
            </w:tcBorders>
            <w:gridSpan w:val="5"/>
          </w:tcPr>
          <w:p>
            <w:pPr>
              <w:jc w:val="center"/>
              <w:spacing w:after="0" w:line="250" w:lineRule="exact"/>
              <w:rPr>
                <w:sz w:val="20"/>
                <w:szCs w:val="20"/>
                <w:color w:val="auto"/>
              </w:rPr>
            </w:pPr>
            <w:r>
              <w:rPr>
                <w:rFonts w:ascii="Arial" w:cs="Arial" w:eastAsia="Arial" w:hAnsi="Arial"/>
                <w:sz w:val="22"/>
                <w:szCs w:val="22"/>
                <w:b w:val="1"/>
                <w:bCs w:val="1"/>
                <w:color w:val="auto"/>
                <w:w w:val="87"/>
              </w:rPr>
              <w:t>Subject to the Stock Option as of</w:t>
            </w:r>
          </w:p>
        </w:tc>
        <w:tc>
          <w:tcPr>
            <w:tcW w:w="140" w:type="dxa"/>
            <w:vAlign w:val="bottom"/>
            <w:tcBorders>
              <w:right w:val="single" w:sz="8" w:color="auto"/>
            </w:tcBorders>
          </w:tcPr>
          <w:p>
            <w:pPr>
              <w:spacing w:after="0"/>
              <w:rPr>
                <w:sz w:val="21"/>
                <w:szCs w:val="21"/>
                <w:color w:val="auto"/>
              </w:rPr>
            </w:pPr>
          </w:p>
        </w:tc>
      </w:tr>
      <w:tr>
        <w:trPr>
          <w:trHeight w:val="20"/>
        </w:trPr>
        <w:tc>
          <w:tcPr>
            <w:tcW w:w="132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250"/>
        </w:trPr>
        <w:tc>
          <w:tcPr>
            <w:tcW w:w="1320" w:type="dxa"/>
            <w:vAlign w:val="bottom"/>
            <w:tcBorders>
              <w:lef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3240" w:type="dxa"/>
            <w:vAlign w:val="bottom"/>
            <w:tcBorders>
              <w:right w:val="single" w:sz="8" w:color="auto"/>
            </w:tcBorders>
            <w:gridSpan w:val="7"/>
          </w:tcPr>
          <w:p>
            <w:pPr>
              <w:jc w:val="center"/>
              <w:ind w:right="20"/>
              <w:spacing w:after="0" w:line="250" w:lineRule="exact"/>
              <w:rPr>
                <w:sz w:val="20"/>
                <w:szCs w:val="20"/>
                <w:color w:val="auto"/>
              </w:rPr>
            </w:pPr>
            <w:r>
              <w:rPr>
                <w:rFonts w:ascii="Arial" w:cs="Arial" w:eastAsia="Arial" w:hAnsi="Arial"/>
                <w:sz w:val="22"/>
                <w:szCs w:val="22"/>
                <w:b w:val="1"/>
                <w:bCs w:val="1"/>
                <w:color w:val="auto"/>
                <w:w w:val="88"/>
              </w:rPr>
              <w:t>Option as of the Effective Date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tcBorders>
              <w:right w:val="single" w:sz="8" w:color="auto"/>
            </w:tcBorders>
            <w:gridSpan w:val="5"/>
          </w:tcPr>
          <w:p>
            <w:pPr>
              <w:jc w:val="center"/>
              <w:ind w:right="200"/>
              <w:spacing w:after="0" w:line="250" w:lineRule="exact"/>
              <w:rPr>
                <w:sz w:val="20"/>
                <w:szCs w:val="20"/>
                <w:color w:val="auto"/>
              </w:rPr>
            </w:pPr>
            <w:r>
              <w:rPr>
                <w:rFonts w:ascii="Arial" w:cs="Arial" w:eastAsia="Arial" w:hAnsi="Arial"/>
                <w:sz w:val="22"/>
                <w:szCs w:val="22"/>
                <w:b w:val="1"/>
                <w:bCs w:val="1"/>
                <w:color w:val="auto"/>
                <w:w w:val="88"/>
              </w:rPr>
              <w:t>the Effective Date</w:t>
            </w:r>
          </w:p>
        </w:tc>
      </w:tr>
      <w:tr>
        <w:trPr>
          <w:trHeight w:val="61"/>
        </w:trPr>
        <w:tc>
          <w:tcPr>
            <w:tcW w:w="1320" w:type="dxa"/>
            <w:vAlign w:val="bottom"/>
            <w:tcBorders>
              <w:left w:val="single" w:sz="8" w:color="auto"/>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50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4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15, 2011</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6,000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97"/>
              </w:rPr>
              <w:t>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1"/>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14, 2012</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5,040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97"/>
              </w:rPr>
              <w:t>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1"/>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12, 2013</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3,920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97"/>
              </w:rPr>
              <w:t>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11, 2014</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2,590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97"/>
              </w:rPr>
              <w:t>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10, 2015</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2,400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97"/>
              </w:rPr>
              <w:t>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9, 2016</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2,800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97"/>
              </w:rPr>
              <w:t>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7, 2017</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1,820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87"/>
              </w:rPr>
              <w:t>455</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6, 2018</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2,100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87"/>
              </w:rPr>
              <w:t>1,050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March 6, 2019</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2,800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87"/>
              </w:rPr>
              <w:t>1,867</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87"/>
        </w:trPr>
        <w:tc>
          <w:tcPr>
            <w:tcW w:w="3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7, 2020</w:t>
            </w:r>
          </w:p>
        </w:tc>
        <w:tc>
          <w:tcPr>
            <w:tcW w:w="2860" w:type="dxa"/>
            <w:vAlign w:val="bottom"/>
            <w:gridSpan w:val="4"/>
          </w:tcPr>
          <w:p>
            <w:pPr>
              <w:jc w:val="center"/>
              <w:ind w:left="252"/>
              <w:spacing w:after="0"/>
              <w:rPr>
                <w:sz w:val="20"/>
                <w:szCs w:val="20"/>
                <w:color w:val="auto"/>
              </w:rPr>
            </w:pPr>
            <w:r>
              <w:rPr>
                <w:rFonts w:ascii="Arial" w:cs="Arial" w:eastAsia="Arial" w:hAnsi="Arial"/>
                <w:sz w:val="22"/>
                <w:szCs w:val="22"/>
                <w:color w:val="auto"/>
                <w:w w:val="90"/>
              </w:rPr>
              <w:t>2,597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gridSpan w:val="4"/>
          </w:tcPr>
          <w:p>
            <w:pPr>
              <w:jc w:val="center"/>
              <w:ind w:left="732"/>
              <w:spacing w:after="0"/>
              <w:rPr>
                <w:sz w:val="20"/>
                <w:szCs w:val="20"/>
                <w:color w:val="auto"/>
              </w:rPr>
            </w:pPr>
            <w:r>
              <w:rPr>
                <w:rFonts w:ascii="Arial" w:cs="Arial" w:eastAsia="Arial" w:hAnsi="Arial"/>
                <w:sz w:val="22"/>
                <w:szCs w:val="22"/>
                <w:color w:val="auto"/>
                <w:w w:val="87"/>
              </w:rPr>
              <w:t>2,597</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98"/>
        </w:trPr>
        <w:tc>
          <w:tcPr>
            <w:tcW w:w="3900" w:type="dxa"/>
            <w:vAlign w:val="bottom"/>
            <w:tcBorders>
              <w:left w:val="single" w:sz="8" w:color="auto"/>
              <w:bottom w:val="single" w:sz="8" w:color="D9D9D9"/>
              <w:right w:val="single" w:sz="8" w:color="auto"/>
            </w:tcBorders>
            <w:gridSpan w:val="3"/>
            <w:shd w:val="clear" w:color="auto" w:fill="D9D9D9"/>
          </w:tcPr>
          <w:p>
            <w:pPr>
              <w:ind w:left="40"/>
              <w:spacing w:after="0"/>
              <w:rPr>
                <w:sz w:val="20"/>
                <w:szCs w:val="20"/>
                <w:color w:val="auto"/>
              </w:rPr>
            </w:pPr>
            <w:r>
              <w:rPr>
                <w:rFonts w:ascii="Arial" w:cs="Arial" w:eastAsia="Arial" w:hAnsi="Arial"/>
                <w:sz w:val="22"/>
                <w:szCs w:val="22"/>
                <w:i w:val="1"/>
                <w:iCs w:val="1"/>
                <w:color w:val="auto"/>
              </w:rPr>
              <w:t>Total</w:t>
            </w:r>
          </w:p>
        </w:tc>
        <w:tc>
          <w:tcPr>
            <w:tcW w:w="20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2880" w:type="dxa"/>
            <w:vAlign w:val="bottom"/>
            <w:tcBorders>
              <w:bottom w:val="single" w:sz="8" w:color="D9D9D9"/>
              <w:right w:val="single" w:sz="8" w:color="auto"/>
            </w:tcBorders>
            <w:gridSpan w:val="4"/>
            <w:shd w:val="clear" w:color="auto" w:fill="D9D9D9"/>
          </w:tcPr>
          <w:p>
            <w:pPr>
              <w:jc w:val="center"/>
              <w:ind w:right="380"/>
              <w:spacing w:after="0"/>
              <w:rPr>
                <w:sz w:val="20"/>
                <w:szCs w:val="20"/>
                <w:color w:val="auto"/>
              </w:rPr>
            </w:pPr>
            <w:r>
              <w:rPr>
                <w:rFonts w:ascii="Arial" w:cs="Arial" w:eastAsia="Arial" w:hAnsi="Arial"/>
                <w:sz w:val="22"/>
                <w:szCs w:val="22"/>
                <w:i w:val="1"/>
                <w:iCs w:val="1"/>
                <w:color w:val="auto"/>
                <w:w w:val="90"/>
              </w:rPr>
              <w:t>#VALUE!</w:t>
            </w:r>
          </w:p>
        </w:tc>
        <w:tc>
          <w:tcPr>
            <w:tcW w:w="10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680" w:type="dxa"/>
            <w:vAlign w:val="bottom"/>
            <w:tcBorders>
              <w:bottom w:val="single" w:sz="8" w:color="D9D9D9"/>
            </w:tcBorders>
            <w:shd w:val="clear" w:color="auto" w:fill="D9D9D9"/>
          </w:tcPr>
          <w:p>
            <w:pPr>
              <w:spacing w:after="0"/>
              <w:rPr>
                <w:sz w:val="24"/>
                <w:szCs w:val="24"/>
                <w:color w:val="auto"/>
              </w:rPr>
            </w:pPr>
          </w:p>
        </w:tc>
        <w:tc>
          <w:tcPr>
            <w:tcW w:w="2520" w:type="dxa"/>
            <w:vAlign w:val="bottom"/>
            <w:tcBorders>
              <w:bottom w:val="single" w:sz="8" w:color="D9D9D9"/>
              <w:right w:val="single" w:sz="8" w:color="auto"/>
            </w:tcBorders>
            <w:gridSpan w:val="4"/>
            <w:shd w:val="clear" w:color="auto" w:fill="D9D9D9"/>
          </w:tcPr>
          <w:p>
            <w:pPr>
              <w:jc w:val="center"/>
              <w:ind w:right="880"/>
              <w:spacing w:after="0"/>
              <w:rPr>
                <w:sz w:val="20"/>
                <w:szCs w:val="20"/>
                <w:color w:val="auto"/>
              </w:rPr>
            </w:pPr>
            <w:r>
              <w:rPr>
                <w:rFonts w:ascii="Arial" w:cs="Arial" w:eastAsia="Arial" w:hAnsi="Arial"/>
                <w:sz w:val="22"/>
                <w:szCs w:val="22"/>
                <w:i w:val="1"/>
                <w:iCs w:val="1"/>
                <w:color w:val="auto"/>
                <w:w w:val="92"/>
              </w:rPr>
              <w:t>#VALUE!</w:t>
            </w:r>
          </w:p>
        </w:tc>
      </w:tr>
      <w:tr>
        <w:trPr>
          <w:trHeight w:val="20"/>
        </w:trPr>
        <w:tc>
          <w:tcPr>
            <w:tcW w:w="132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660" w:right="80" w:hanging="652"/>
        <w:spacing w:after="0" w:line="250"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unvested shares of common stock of the Company subject to Restricted Stock Agreements granted to Executive on December 13, 2016, February 7, 2017, February 6, 2018, March 6, 2019 and February 7, 2020 (itemized below) shall be fully vested as of December 31, 2020.</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920" w:type="dxa"/>
            <w:vAlign w:val="bottom"/>
            <w:tcBorders>
              <w:top w:val="single" w:sz="8" w:color="auto"/>
              <w:left w:val="single" w:sz="8" w:color="auto"/>
              <w:right w:val="single" w:sz="8" w:color="auto"/>
            </w:tcBorders>
            <w:gridSpan w:val="3"/>
            <w:vMerge w:val="restart"/>
          </w:tcPr>
          <w:p>
            <w:pPr>
              <w:ind w:left="1320"/>
              <w:spacing w:after="0"/>
              <w:rPr>
                <w:sz w:val="20"/>
                <w:szCs w:val="20"/>
                <w:color w:val="auto"/>
              </w:rPr>
            </w:pPr>
            <w:r>
              <w:rPr>
                <w:rFonts w:ascii="Arial" w:cs="Arial" w:eastAsia="Arial" w:hAnsi="Arial"/>
                <w:sz w:val="22"/>
                <w:szCs w:val="22"/>
                <w:b w:val="1"/>
                <w:bCs w:val="1"/>
                <w:color w:val="auto"/>
              </w:rPr>
              <w:t>Date of Grant</w:t>
            </w:r>
          </w:p>
        </w:tc>
        <w:tc>
          <w:tcPr>
            <w:tcW w:w="646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b w:val="1"/>
                <w:bCs w:val="1"/>
                <w:color w:val="auto"/>
                <w:w w:val="87"/>
              </w:rPr>
              <w:t>Total Number of Unvested Shares Subject to the Restricted Stock</w:t>
            </w:r>
          </w:p>
        </w:tc>
        <w:tc>
          <w:tcPr>
            <w:tcW w:w="0" w:type="dxa"/>
            <w:vAlign w:val="bottom"/>
          </w:tcPr>
          <w:p>
            <w:pPr>
              <w:spacing w:after="0"/>
              <w:rPr>
                <w:sz w:val="1"/>
                <w:szCs w:val="1"/>
                <w:color w:val="auto"/>
              </w:rPr>
            </w:pPr>
          </w:p>
        </w:tc>
      </w:tr>
      <w:tr>
        <w:trPr>
          <w:trHeight w:val="115"/>
        </w:trPr>
        <w:tc>
          <w:tcPr>
            <w:tcW w:w="3920" w:type="dxa"/>
            <w:vAlign w:val="bottom"/>
            <w:tcBorders>
              <w:top w:val="single" w:sz="8" w:color="auto"/>
              <w:left w:val="single" w:sz="8" w:color="auto"/>
              <w:right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000" w:type="dxa"/>
            <w:vAlign w:val="bottom"/>
            <w:tcBorders>
              <w:top w:val="single" w:sz="8" w:color="auto"/>
            </w:tcBorders>
            <w:gridSpan w:val="3"/>
            <w:vMerge w:val="restart"/>
          </w:tcPr>
          <w:p>
            <w:pPr>
              <w:jc w:val="center"/>
              <w:spacing w:after="0" w:line="250" w:lineRule="exact"/>
              <w:rPr>
                <w:sz w:val="20"/>
                <w:szCs w:val="20"/>
                <w:color w:val="auto"/>
              </w:rPr>
            </w:pPr>
            <w:r>
              <w:rPr>
                <w:rFonts w:ascii="Arial" w:cs="Arial" w:eastAsia="Arial" w:hAnsi="Arial"/>
                <w:sz w:val="22"/>
                <w:szCs w:val="22"/>
                <w:b w:val="1"/>
                <w:bCs w:val="1"/>
                <w:color w:val="auto"/>
                <w:w w:val="88"/>
              </w:rPr>
              <w:t>Award as of the Effective Date</w:t>
            </w:r>
          </w:p>
        </w:tc>
        <w:tc>
          <w:tcPr>
            <w:tcW w:w="240" w:type="dxa"/>
            <w:vAlign w:val="bottom"/>
            <w:tcBorders>
              <w:right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20" w:type="dxa"/>
            <w:vAlign w:val="bottom"/>
            <w:tcBorders>
              <w:left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0" w:type="dxa"/>
            <w:vAlign w:val="bottom"/>
            <w:tcBorders>
              <w:top w:val="single" w:sz="8" w:color="auto"/>
            </w:tcBorders>
            <w:gridSpan w:val="3"/>
            <w:vMerge w:val="continue"/>
          </w:tcPr>
          <w:p>
            <w:pPr>
              <w:spacing w:after="0"/>
              <w:rPr>
                <w:sz w:val="10"/>
                <w:szCs w:val="10"/>
                <w:color w:val="auto"/>
              </w:rPr>
            </w:pPr>
          </w:p>
        </w:tc>
        <w:tc>
          <w:tcPr>
            <w:tcW w:w="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320" w:type="dxa"/>
            <w:vAlign w:val="bottom"/>
            <w:tcBorders>
              <w:left w:val="single" w:sz="8" w:color="auto"/>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800" w:type="dxa"/>
            <w:vAlign w:val="bottom"/>
            <w:tcBorders>
              <w:top w:val="single" w:sz="8" w:color="auto"/>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December 13, 2016*</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3,250</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7, 2017</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455</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6, 2018</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1,050</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6, 2018**</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2,000</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March 6, 2019</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1,875</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March 6, 2019</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2,500</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March 6, 2019</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1,866</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7, 2020</w:t>
            </w:r>
          </w:p>
        </w:tc>
        <w:tc>
          <w:tcPr>
            <w:tcW w:w="4620" w:type="dxa"/>
            <w:vAlign w:val="bottom"/>
            <w:gridSpan w:val="3"/>
          </w:tcPr>
          <w:p>
            <w:pPr>
              <w:jc w:val="center"/>
              <w:ind w:left="1712"/>
              <w:spacing w:after="0"/>
              <w:rPr>
                <w:sz w:val="20"/>
                <w:szCs w:val="20"/>
                <w:color w:val="auto"/>
              </w:rPr>
            </w:pPr>
            <w:r>
              <w:rPr>
                <w:rFonts w:ascii="Arial" w:cs="Arial" w:eastAsia="Arial" w:hAnsi="Arial"/>
                <w:sz w:val="22"/>
                <w:szCs w:val="22"/>
                <w:color w:val="auto"/>
                <w:w w:val="87"/>
              </w:rPr>
              <w:t>2,597</w:t>
            </w:r>
          </w:p>
        </w:tc>
        <w:tc>
          <w:tcPr>
            <w:tcW w:w="16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920" w:type="dxa"/>
            <w:vAlign w:val="bottom"/>
            <w:tcBorders>
              <w:left w:val="single" w:sz="8" w:color="auto"/>
              <w:bottom w:val="single" w:sz="8" w:color="D9D9D9"/>
              <w:right w:val="single" w:sz="8" w:color="auto"/>
            </w:tcBorders>
            <w:gridSpan w:val="3"/>
            <w:shd w:val="clear" w:color="auto" w:fill="D9D9D9"/>
          </w:tcPr>
          <w:p>
            <w:pPr>
              <w:ind w:left="40"/>
              <w:spacing w:after="0"/>
              <w:rPr>
                <w:sz w:val="20"/>
                <w:szCs w:val="20"/>
                <w:color w:val="auto"/>
              </w:rPr>
            </w:pPr>
            <w:r>
              <w:rPr>
                <w:rFonts w:ascii="Arial" w:cs="Arial" w:eastAsia="Arial" w:hAnsi="Arial"/>
                <w:sz w:val="22"/>
                <w:szCs w:val="22"/>
                <w:i w:val="1"/>
                <w:iCs w:val="1"/>
                <w:color w:val="auto"/>
              </w:rPr>
              <w:t>Total</w:t>
            </w:r>
          </w:p>
        </w:tc>
        <w:tc>
          <w:tcPr>
            <w:tcW w:w="220" w:type="dxa"/>
            <w:vAlign w:val="bottom"/>
            <w:tcBorders>
              <w:bottom w:val="single" w:sz="8" w:color="D9D9D9"/>
            </w:tcBorders>
            <w:shd w:val="clear" w:color="auto" w:fill="D9D9D9"/>
          </w:tcPr>
          <w:p>
            <w:pPr>
              <w:spacing w:after="0"/>
              <w:rPr>
                <w:sz w:val="24"/>
                <w:szCs w:val="24"/>
                <w:color w:val="auto"/>
              </w:rPr>
            </w:pPr>
          </w:p>
        </w:tc>
        <w:tc>
          <w:tcPr>
            <w:tcW w:w="1600" w:type="dxa"/>
            <w:vAlign w:val="bottom"/>
            <w:tcBorders>
              <w:bottom w:val="single" w:sz="8" w:color="D9D9D9"/>
            </w:tcBorders>
            <w:shd w:val="clear" w:color="auto" w:fill="D9D9D9"/>
          </w:tcPr>
          <w:p>
            <w:pPr>
              <w:spacing w:after="0"/>
              <w:rPr>
                <w:sz w:val="24"/>
                <w:szCs w:val="24"/>
                <w:color w:val="auto"/>
              </w:rPr>
            </w:pPr>
          </w:p>
        </w:tc>
        <w:tc>
          <w:tcPr>
            <w:tcW w:w="4640" w:type="dxa"/>
            <w:vAlign w:val="bottom"/>
            <w:tcBorders>
              <w:bottom w:val="single" w:sz="8" w:color="D9D9D9"/>
              <w:right w:val="single" w:sz="8" w:color="auto"/>
            </w:tcBorders>
            <w:gridSpan w:val="3"/>
            <w:shd w:val="clear" w:color="auto" w:fill="D9D9D9"/>
          </w:tcPr>
          <w:p>
            <w:pPr>
              <w:jc w:val="center"/>
              <w:ind w:right="1840"/>
              <w:spacing w:after="0"/>
              <w:rPr>
                <w:sz w:val="20"/>
                <w:szCs w:val="20"/>
                <w:color w:val="auto"/>
              </w:rPr>
            </w:pPr>
            <w:r>
              <w:rPr>
                <w:rFonts w:ascii="Arial" w:cs="Arial" w:eastAsia="Arial" w:hAnsi="Arial"/>
                <w:sz w:val="22"/>
                <w:szCs w:val="22"/>
                <w:i w:val="1"/>
                <w:iCs w:val="1"/>
                <w:color w:val="auto"/>
                <w:w w:val="92"/>
              </w:rPr>
              <w:t>#VALUE!</w:t>
            </w:r>
          </w:p>
        </w:tc>
        <w:tc>
          <w:tcPr>
            <w:tcW w:w="0" w:type="dxa"/>
            <w:vAlign w:val="bottom"/>
          </w:tcPr>
          <w:p>
            <w:pPr>
              <w:spacing w:after="0"/>
              <w:rPr>
                <w:sz w:val="1"/>
                <w:szCs w:val="1"/>
                <w:color w:val="auto"/>
              </w:rPr>
            </w:pPr>
          </w:p>
        </w:tc>
      </w:tr>
      <w:tr>
        <w:trPr>
          <w:trHeight w:val="20"/>
        </w:trPr>
        <w:tc>
          <w:tcPr>
            <w:tcW w:w="132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60" w:hanging="4"/>
        <w:spacing w:after="0" w:line="274" w:lineRule="auto"/>
        <w:tabs>
          <w:tab w:leader="none" w:pos="808"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3,250 unvested shares of the Restricted Stock Award granted on December 13, 2016 vest on December 13, 2020 if Executive remains employed through December 13, 2020.</w:t>
      </w:r>
    </w:p>
    <w:p>
      <w:pPr>
        <w:spacing w:after="0" w:line="69" w:lineRule="exact"/>
        <w:rPr>
          <w:sz w:val="20"/>
          <w:szCs w:val="20"/>
          <w:color w:val="auto"/>
        </w:rPr>
      </w:pPr>
    </w:p>
    <w:p>
      <w:pPr>
        <w:ind w:left="660" w:right="460"/>
        <w:spacing w:after="0" w:line="274" w:lineRule="auto"/>
        <w:rPr>
          <w:sz w:val="20"/>
          <w:szCs w:val="20"/>
          <w:color w:val="auto"/>
        </w:rPr>
      </w:pPr>
      <w:r>
        <w:rPr>
          <w:rFonts w:ascii="Arial" w:cs="Arial" w:eastAsia="Arial" w:hAnsi="Arial"/>
          <w:sz w:val="20"/>
          <w:szCs w:val="20"/>
          <w:color w:val="auto"/>
        </w:rPr>
        <w:t>**1,000 unvested shares of this Restricted Stock Award granted on February 6, 2018 vest on December 31, 2020 if Executive remains employed through December 31, 2020.</w:t>
      </w:r>
    </w:p>
    <w:p>
      <w:pPr>
        <w:spacing w:after="0" w:line="55" w:lineRule="exact"/>
        <w:rPr>
          <w:sz w:val="20"/>
          <w:szCs w:val="20"/>
          <w:color w:val="auto"/>
        </w:rPr>
      </w:pPr>
    </w:p>
    <w:p>
      <w:pPr>
        <w:ind w:left="660" w:right="200" w:hanging="652"/>
        <w:spacing w:after="0" w:line="25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With respect to the performance units of the Company granted to Executive on February 6, 2018, March 6, 2019 and February 7, 2020 (itemized below) (collectively, the “</w:t>
      </w:r>
      <w:r>
        <w:rPr>
          <w:rFonts w:ascii="Arial" w:cs="Arial" w:eastAsia="Arial" w:hAnsi="Arial"/>
          <w:sz w:val="20"/>
          <w:szCs w:val="20"/>
          <w:u w:val="single" w:color="auto"/>
          <w:color w:val="auto"/>
        </w:rPr>
        <w:t>Performance Units</w:t>
      </w:r>
      <w:r>
        <w:rPr>
          <w:rFonts w:ascii="Arial" w:cs="Arial" w:eastAsia="Arial" w:hAnsi="Arial"/>
          <w:sz w:val="20"/>
          <w:szCs w:val="20"/>
          <w:color w:val="auto"/>
        </w:rPr>
        <w:t>”), Executive will be entitled to receive, at such time that the Performance Units would otherwise be</w:t>
      </w:r>
    </w:p>
    <w:p>
      <w:pPr>
        <w:sectPr>
          <w:pgSz w:w="11900" w:h="16838" w:orient="portrait"/>
          <w:cols w:equalWidth="0" w:num="1">
            <w:col w:w="11060"/>
          </w:cols>
          <w:pgMar w:left="320" w:top="1419" w:right="519" w:bottom="1440" w:gutter="0" w:footer="0" w:header="0"/>
        </w:sectPr>
      </w:pPr>
    </w:p>
    <w:bookmarkStart w:id="102" w:name="page103"/>
    <w:bookmarkEnd w:id="102"/>
    <w:p>
      <w:pPr>
        <w:ind w:left="660"/>
        <w:spacing w:after="0" w:line="274" w:lineRule="auto"/>
        <w:rPr>
          <w:sz w:val="20"/>
          <w:szCs w:val="20"/>
          <w:color w:val="auto"/>
        </w:rPr>
      </w:pPr>
      <w:r>
        <w:rPr>
          <w:rFonts w:ascii="Arial" w:cs="Arial" w:eastAsia="Arial" w:hAnsi="Arial"/>
          <w:sz w:val="18"/>
          <w:szCs w:val="18"/>
          <w:color w:val="auto"/>
        </w:rPr>
        <w:t>paid under the terms of the applicable award agreement and the 2011 Stock Plan governing such Performance Units, a number of shares of common stock of the Company equal to the product of (A) the total number of Performance Units Executive would have earned based on actual performance assuming Executive remained employed through the end of the applicable performance cycle (or, if a Section 11 Event (as defined in the 2011 Stock Plan) occurs prior to the end of the applicable performance cycle, the total number that would have been considered earned under the applicable award agreement as a result of the Section 11 Event), multiplied by (B) a fraction (the “</w:t>
      </w:r>
      <w:r>
        <w:rPr>
          <w:rFonts w:ascii="Arial" w:cs="Arial" w:eastAsia="Arial" w:hAnsi="Arial"/>
          <w:sz w:val="18"/>
          <w:szCs w:val="18"/>
          <w:u w:val="single" w:color="auto"/>
          <w:color w:val="auto"/>
        </w:rPr>
        <w:t>Proration Fraction</w:t>
      </w:r>
      <w:r>
        <w:rPr>
          <w:rFonts w:ascii="Arial" w:cs="Arial" w:eastAsia="Arial" w:hAnsi="Arial"/>
          <w:sz w:val="18"/>
          <w:szCs w:val="18"/>
          <w:color w:val="auto"/>
        </w:rPr>
        <w:t>”), the numerator of which is the total number of whole months that have elapsed during the applicable performance period through the Date of Termination and the denominator of which is 36.</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040" w:type="dxa"/>
            <w:vAlign w:val="bottom"/>
            <w:tcBorders>
              <w:top w:val="single" w:sz="8" w:color="auto"/>
              <w:left w:val="single" w:sz="8" w:color="auto"/>
            </w:tcBorders>
          </w:tcPr>
          <w:p>
            <w:pPr>
              <w:spacing w:after="0"/>
              <w:rPr>
                <w:sz w:val="22"/>
                <w:szCs w:val="22"/>
                <w:color w:val="auto"/>
              </w:rPr>
            </w:pPr>
          </w:p>
        </w:tc>
        <w:tc>
          <w:tcPr>
            <w:tcW w:w="23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2"/>
                <w:szCs w:val="22"/>
                <w:b w:val="1"/>
                <w:bCs w:val="1"/>
                <w:color w:val="auto"/>
              </w:rPr>
              <w:t>Date of Grant</w:t>
            </w:r>
          </w:p>
        </w:tc>
        <w:tc>
          <w:tcPr>
            <w:tcW w:w="486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b w:val="1"/>
                <w:bCs w:val="1"/>
                <w:color w:val="auto"/>
                <w:w w:val="88"/>
              </w:rPr>
              <w:t>Total Number of Performance Units Subject to the</w:t>
            </w:r>
          </w:p>
        </w:tc>
        <w:tc>
          <w:tcPr>
            <w:tcW w:w="216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b w:val="1"/>
                <w:bCs w:val="1"/>
                <w:color w:val="auto"/>
                <w:w w:val="91"/>
              </w:rPr>
              <w:t>Proration Fraction</w:t>
            </w: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tcBorders>
          </w:tcPr>
          <w:p>
            <w:pPr>
              <w:spacing w:after="0"/>
              <w:rPr>
                <w:sz w:val="10"/>
                <w:szCs w:val="10"/>
                <w:color w:val="auto"/>
              </w:rPr>
            </w:pPr>
          </w:p>
        </w:tc>
        <w:tc>
          <w:tcPr>
            <w:tcW w:w="2320" w:type="dxa"/>
            <w:vAlign w:val="bottom"/>
            <w:tcBorders>
              <w:top w:val="single" w:sz="8" w:color="auto"/>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3360" w:type="dxa"/>
            <w:vAlign w:val="bottom"/>
            <w:tcBorders>
              <w:top w:val="single" w:sz="8" w:color="auto"/>
            </w:tcBorders>
            <w:gridSpan w:val="2"/>
            <w:vMerge w:val="restart"/>
          </w:tcPr>
          <w:p>
            <w:pPr>
              <w:jc w:val="center"/>
              <w:ind w:right="1280"/>
              <w:spacing w:after="0" w:line="250" w:lineRule="exact"/>
              <w:rPr>
                <w:sz w:val="20"/>
                <w:szCs w:val="20"/>
                <w:color w:val="auto"/>
              </w:rPr>
            </w:pPr>
            <w:r>
              <w:rPr>
                <w:rFonts w:ascii="Arial" w:cs="Arial" w:eastAsia="Arial" w:hAnsi="Arial"/>
                <w:sz w:val="22"/>
                <w:szCs w:val="22"/>
                <w:b w:val="1"/>
                <w:bCs w:val="1"/>
                <w:color w:val="auto"/>
                <w:w w:val="90"/>
              </w:rPr>
              <w:t>Award at Target Level</w:t>
            </w:r>
          </w:p>
        </w:tc>
        <w:tc>
          <w:tcPr>
            <w:tcW w:w="120" w:type="dxa"/>
            <w:vAlign w:val="bottom"/>
            <w:tcBorders>
              <w:right w:val="single" w:sz="8" w:color="auto"/>
            </w:tcBorders>
            <w:vMerge w:val="restart"/>
          </w:tcPr>
          <w:p>
            <w:pPr>
              <w:spacing w:after="0"/>
              <w:rPr>
                <w:sz w:val="10"/>
                <w:szCs w:val="10"/>
                <w:color w:val="auto"/>
              </w:rPr>
            </w:pPr>
          </w:p>
        </w:tc>
        <w:tc>
          <w:tcPr>
            <w:tcW w:w="2160" w:type="dxa"/>
            <w:vAlign w:val="bottom"/>
            <w:tcBorders>
              <w:top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360" w:type="dxa"/>
            <w:vAlign w:val="bottom"/>
            <w:tcBorders>
              <w:top w:val="single" w:sz="8" w:color="auto"/>
            </w:tcBorders>
            <w:gridSpan w:val="2"/>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40" w:type="dxa"/>
            <w:vAlign w:val="bottom"/>
            <w:tcBorders>
              <w:left w:val="single" w:sz="8" w:color="auto"/>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80" w:type="dxa"/>
            <w:vAlign w:val="bottom"/>
            <w:tcBorders>
              <w:top w:val="single" w:sz="8" w:color="auto"/>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6, 2018</w:t>
            </w:r>
          </w:p>
        </w:tc>
        <w:tc>
          <w:tcPr>
            <w:tcW w:w="3460" w:type="dxa"/>
            <w:vAlign w:val="bottom"/>
            <w:gridSpan w:val="3"/>
          </w:tcPr>
          <w:p>
            <w:pPr>
              <w:jc w:val="center"/>
              <w:ind w:left="1272"/>
              <w:spacing w:after="0"/>
              <w:rPr>
                <w:sz w:val="20"/>
                <w:szCs w:val="20"/>
                <w:color w:val="auto"/>
              </w:rPr>
            </w:pPr>
            <w:r>
              <w:rPr>
                <w:rFonts w:ascii="Arial" w:cs="Arial" w:eastAsia="Arial" w:hAnsi="Arial"/>
                <w:sz w:val="22"/>
                <w:szCs w:val="22"/>
                <w:color w:val="auto"/>
                <w:w w:val="87"/>
              </w:rPr>
              <w:t>3,000</w:t>
            </w: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940" w:type="dxa"/>
            <w:vAlign w:val="bottom"/>
            <w:gridSpan w:val="2"/>
          </w:tcPr>
          <w:p>
            <w:pPr>
              <w:jc w:val="center"/>
              <w:ind w:left="92"/>
              <w:spacing w:after="0"/>
              <w:rPr>
                <w:sz w:val="20"/>
                <w:szCs w:val="20"/>
                <w:color w:val="auto"/>
              </w:rPr>
            </w:pPr>
            <w:r>
              <w:rPr>
                <w:rFonts w:ascii="Arial" w:cs="Arial" w:eastAsia="Arial" w:hAnsi="Arial"/>
                <w:sz w:val="22"/>
                <w:szCs w:val="22"/>
                <w:color w:val="auto"/>
                <w:w w:val="90"/>
              </w:rPr>
              <w:t>36/36</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March 6, 2019</w:t>
            </w:r>
          </w:p>
        </w:tc>
        <w:tc>
          <w:tcPr>
            <w:tcW w:w="3460" w:type="dxa"/>
            <w:vAlign w:val="bottom"/>
            <w:gridSpan w:val="3"/>
          </w:tcPr>
          <w:p>
            <w:pPr>
              <w:jc w:val="center"/>
              <w:ind w:left="1272"/>
              <w:spacing w:after="0"/>
              <w:rPr>
                <w:sz w:val="20"/>
                <w:szCs w:val="20"/>
                <w:color w:val="auto"/>
              </w:rPr>
            </w:pPr>
            <w:r>
              <w:rPr>
                <w:rFonts w:ascii="Arial" w:cs="Arial" w:eastAsia="Arial" w:hAnsi="Arial"/>
                <w:sz w:val="22"/>
                <w:szCs w:val="22"/>
                <w:color w:val="auto"/>
                <w:w w:val="87"/>
              </w:rPr>
              <w:t>4,000</w:t>
            </w: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940" w:type="dxa"/>
            <w:vAlign w:val="bottom"/>
            <w:gridSpan w:val="2"/>
          </w:tcPr>
          <w:p>
            <w:pPr>
              <w:jc w:val="center"/>
              <w:ind w:left="92"/>
              <w:spacing w:after="0"/>
              <w:rPr>
                <w:sz w:val="20"/>
                <w:szCs w:val="20"/>
                <w:color w:val="auto"/>
              </w:rPr>
            </w:pPr>
            <w:r>
              <w:rPr>
                <w:rFonts w:ascii="Arial" w:cs="Arial" w:eastAsia="Arial" w:hAnsi="Arial"/>
                <w:sz w:val="22"/>
                <w:szCs w:val="22"/>
                <w:color w:val="auto"/>
                <w:w w:val="90"/>
              </w:rPr>
              <w:t>24/36</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0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February 7, 2020</w:t>
            </w:r>
          </w:p>
        </w:tc>
        <w:tc>
          <w:tcPr>
            <w:tcW w:w="3460" w:type="dxa"/>
            <w:vAlign w:val="bottom"/>
            <w:gridSpan w:val="3"/>
          </w:tcPr>
          <w:p>
            <w:pPr>
              <w:jc w:val="center"/>
              <w:ind w:left="1272"/>
              <w:spacing w:after="0"/>
              <w:rPr>
                <w:sz w:val="20"/>
                <w:szCs w:val="20"/>
                <w:color w:val="auto"/>
              </w:rPr>
            </w:pPr>
            <w:r>
              <w:rPr>
                <w:rFonts w:ascii="Arial" w:cs="Arial" w:eastAsia="Arial" w:hAnsi="Arial"/>
                <w:sz w:val="22"/>
                <w:szCs w:val="22"/>
                <w:color w:val="auto"/>
                <w:w w:val="87"/>
              </w:rPr>
              <w:t>3,710</w:t>
            </w: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940" w:type="dxa"/>
            <w:vAlign w:val="bottom"/>
            <w:gridSpan w:val="2"/>
          </w:tcPr>
          <w:p>
            <w:pPr>
              <w:jc w:val="center"/>
              <w:ind w:left="92"/>
              <w:spacing w:after="0"/>
              <w:rPr>
                <w:sz w:val="20"/>
                <w:szCs w:val="20"/>
                <w:color w:val="auto"/>
              </w:rPr>
            </w:pPr>
            <w:r>
              <w:rPr>
                <w:rFonts w:ascii="Arial" w:cs="Arial" w:eastAsia="Arial" w:hAnsi="Arial"/>
                <w:sz w:val="22"/>
                <w:szCs w:val="22"/>
                <w:color w:val="auto"/>
                <w:w w:val="90"/>
              </w:rPr>
              <w:t>12/36</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0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360" w:type="dxa"/>
            <w:vAlign w:val="bottom"/>
            <w:tcBorders>
              <w:left w:val="single" w:sz="8" w:color="auto"/>
              <w:bottom w:val="single" w:sz="8" w:color="D9D9D9"/>
              <w:right w:val="single" w:sz="8" w:color="auto"/>
            </w:tcBorders>
            <w:gridSpan w:val="3"/>
            <w:shd w:val="clear" w:color="auto" w:fill="D9D9D9"/>
          </w:tcPr>
          <w:p>
            <w:pPr>
              <w:ind w:left="40"/>
              <w:spacing w:after="0"/>
              <w:rPr>
                <w:sz w:val="20"/>
                <w:szCs w:val="20"/>
                <w:color w:val="auto"/>
              </w:rPr>
            </w:pPr>
            <w:r>
              <w:rPr>
                <w:rFonts w:ascii="Arial" w:cs="Arial" w:eastAsia="Arial" w:hAnsi="Arial"/>
                <w:sz w:val="22"/>
                <w:szCs w:val="22"/>
                <w:i w:val="1"/>
                <w:iCs w:val="1"/>
                <w:color w:val="auto"/>
              </w:rPr>
              <w:t>Total</w:t>
            </w:r>
          </w:p>
        </w:tc>
        <w:tc>
          <w:tcPr>
            <w:tcW w:w="100" w:type="dxa"/>
            <w:vAlign w:val="bottom"/>
            <w:tcBorders>
              <w:bottom w:val="single" w:sz="8" w:color="D9D9D9"/>
            </w:tcBorders>
            <w:shd w:val="clear" w:color="auto" w:fill="D9D9D9"/>
          </w:tcPr>
          <w:p>
            <w:pPr>
              <w:spacing w:after="0"/>
              <w:rPr>
                <w:sz w:val="24"/>
                <w:szCs w:val="24"/>
                <w:color w:val="auto"/>
              </w:rPr>
            </w:pPr>
          </w:p>
        </w:tc>
        <w:tc>
          <w:tcPr>
            <w:tcW w:w="1280" w:type="dxa"/>
            <w:vAlign w:val="bottom"/>
            <w:tcBorders>
              <w:bottom w:val="single" w:sz="8" w:color="D9D9D9"/>
            </w:tcBorders>
            <w:shd w:val="clear" w:color="auto" w:fill="D9D9D9"/>
          </w:tcPr>
          <w:p>
            <w:pPr>
              <w:spacing w:after="0"/>
              <w:rPr>
                <w:sz w:val="24"/>
                <w:szCs w:val="24"/>
                <w:color w:val="auto"/>
              </w:rPr>
            </w:pPr>
          </w:p>
        </w:tc>
        <w:tc>
          <w:tcPr>
            <w:tcW w:w="3480" w:type="dxa"/>
            <w:vAlign w:val="bottom"/>
            <w:tcBorders>
              <w:bottom w:val="single" w:sz="8" w:color="D9D9D9"/>
              <w:right w:val="single" w:sz="8" w:color="auto"/>
            </w:tcBorders>
            <w:gridSpan w:val="3"/>
            <w:shd w:val="clear" w:color="auto" w:fill="D9D9D9"/>
          </w:tcPr>
          <w:p>
            <w:pPr>
              <w:jc w:val="center"/>
              <w:ind w:right="1400"/>
              <w:spacing w:after="0"/>
              <w:rPr>
                <w:sz w:val="20"/>
                <w:szCs w:val="20"/>
                <w:color w:val="auto"/>
              </w:rPr>
            </w:pPr>
            <w:r>
              <w:rPr>
                <w:rFonts w:ascii="Arial" w:cs="Arial" w:eastAsia="Arial" w:hAnsi="Arial"/>
                <w:sz w:val="22"/>
                <w:szCs w:val="22"/>
                <w:i w:val="1"/>
                <w:iCs w:val="1"/>
                <w:color w:val="auto"/>
                <w:w w:val="92"/>
              </w:rPr>
              <w:t>#VALUE!</w:t>
            </w:r>
          </w:p>
        </w:tc>
        <w:tc>
          <w:tcPr>
            <w:tcW w:w="200" w:type="dxa"/>
            <w:vAlign w:val="bottom"/>
            <w:tcBorders>
              <w:bottom w:val="single" w:sz="8" w:color="D9D9D9"/>
            </w:tcBorders>
            <w:shd w:val="clear" w:color="auto" w:fill="D9D9D9"/>
          </w:tcPr>
          <w:p>
            <w:pPr>
              <w:spacing w:after="0"/>
              <w:rPr>
                <w:sz w:val="24"/>
                <w:szCs w:val="24"/>
                <w:color w:val="auto"/>
              </w:rPr>
            </w:pPr>
          </w:p>
        </w:tc>
        <w:tc>
          <w:tcPr>
            <w:tcW w:w="174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660" w:right="20" w:hanging="652"/>
        <w:spacing w:after="0" w:line="31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provide Executive with outplacement services with Randy White to the extent that the cost of such outplacement services does not exceed $5,000 and such outplacement services are provided no later than December 31, 2021.</w:t>
      </w:r>
    </w:p>
    <w:p>
      <w:pPr>
        <w:spacing w:after="0" w:line="129"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Executive dies before all Severance Benefits due to Executive under this Transition Agreement have been paid, the amounts of Severance Benefits remaining due shall be paid to his surviving spouse (or, if none, his estate), at the same time such amounts would have otherwise been paid to Executive.</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Each payment under this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shall be considered a separate payment and not one of a series of payments for purposes of Section 409A of the Internal Revenue Code of 1986, as amended.</w:t>
      </w:r>
    </w:p>
    <w:p>
      <w:pPr>
        <w:sectPr>
          <w:pgSz w:w="11900" w:h="16838" w:orient="portrait"/>
          <w:cols w:equalWidth="0" w:num="1">
            <w:col w:w="11200"/>
          </w:cols>
          <w:pgMar w:left="320" w:top="1419" w:right="379" w:bottom="1440" w:gutter="0" w:footer="0" w:header="0"/>
        </w:sectPr>
      </w:pPr>
    </w:p>
    <w:bookmarkStart w:id="103" w:name="page104"/>
    <w:bookmarkEnd w:id="103"/>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AND AFFILIATES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920" w:type="dxa"/>
            <w:vAlign w:val="bottom"/>
          </w:tcPr>
          <w:p>
            <w:pPr>
              <w:spacing w:after="0"/>
              <w:rPr>
                <w:sz w:val="16"/>
                <w:szCs w:val="16"/>
                <w:color w:val="auto"/>
              </w:rPr>
            </w:pPr>
          </w:p>
        </w:tc>
        <w:tc>
          <w:tcPr>
            <w:tcW w:w="2240" w:type="dxa"/>
            <w:vAlign w:val="bottom"/>
          </w:tcPr>
          <w:p>
            <w:pPr>
              <w:jc w:val="right"/>
              <w:ind w:right="208"/>
              <w:spacing w:after="0"/>
              <w:rPr>
                <w:sz w:val="20"/>
                <w:szCs w:val="20"/>
                <w:color w:val="auto"/>
              </w:rPr>
            </w:pPr>
            <w:r>
              <w:rPr>
                <w:rFonts w:ascii="Arial" w:cs="Arial" w:eastAsia="Arial" w:hAnsi="Arial"/>
                <w:sz w:val="14"/>
                <w:szCs w:val="14"/>
                <w:b w:val="1"/>
                <w:bCs w:val="1"/>
                <w:color w:val="auto"/>
              </w:rPr>
              <w:t>Ownership Interest</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 and M Signalling Services Private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India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Aero Transportation Products, Inc</w:t>
            </w:r>
          </w:p>
        </w:tc>
        <w:tc>
          <w:tcPr>
            <w:tcW w:w="3920" w:type="dxa"/>
            <w:vAlign w:val="bottom"/>
          </w:tcPr>
          <w:p>
            <w:pPr>
              <w:ind w:left="1580"/>
              <w:spacing w:after="0"/>
              <w:rPr>
                <w:sz w:val="20"/>
                <w:szCs w:val="20"/>
                <w:color w:val="auto"/>
              </w:rPr>
            </w:pPr>
            <w:r>
              <w:rPr>
                <w:rFonts w:ascii="Arial" w:cs="Arial" w:eastAsia="Arial" w:hAnsi="Arial"/>
                <w:sz w:val="14"/>
                <w:szCs w:val="14"/>
                <w:color w:val="auto"/>
              </w:rPr>
              <w:t>Independence, Missouri</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AM General Contractors SpA</w:t>
            </w:r>
          </w:p>
        </w:tc>
        <w:tc>
          <w:tcPr>
            <w:tcW w:w="3920" w:type="dxa"/>
            <w:vAlign w:val="bottom"/>
          </w:tcPr>
          <w:p>
            <w:pPr>
              <w:ind w:left="1580"/>
              <w:spacing w:after="0"/>
              <w:rPr>
                <w:sz w:val="20"/>
                <w:szCs w:val="20"/>
                <w:color w:val="auto"/>
              </w:rPr>
            </w:pPr>
            <w:r>
              <w:rPr>
                <w:rFonts w:ascii="Arial" w:cs="Arial" w:eastAsia="Arial" w:hAnsi="Arial"/>
                <w:sz w:val="14"/>
                <w:szCs w:val="14"/>
                <w:color w:val="auto"/>
              </w:rPr>
              <w:t>Genova, Italy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 M Rail Group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Burton-on-Trent, UK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 M Signalling Design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Burton-on-Trent, UK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Annax GmbH</w:t>
            </w:r>
          </w:p>
        </w:tc>
        <w:tc>
          <w:tcPr>
            <w:tcW w:w="3920" w:type="dxa"/>
            <w:vAlign w:val="bottom"/>
          </w:tcPr>
          <w:p>
            <w:pPr>
              <w:ind w:left="1580"/>
              <w:spacing w:after="0"/>
              <w:rPr>
                <w:sz w:val="20"/>
                <w:szCs w:val="20"/>
                <w:color w:val="auto"/>
              </w:rPr>
            </w:pPr>
            <w:r>
              <w:rPr>
                <w:rFonts w:ascii="Arial" w:cs="Arial" w:eastAsia="Arial" w:hAnsi="Arial"/>
                <w:sz w:val="14"/>
                <w:szCs w:val="14"/>
                <w:color w:val="auto"/>
              </w:rPr>
              <w:t>Brunnthal, 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Annax Scheiz AG</w:t>
            </w:r>
          </w:p>
        </w:tc>
        <w:tc>
          <w:tcPr>
            <w:tcW w:w="3920" w:type="dxa"/>
            <w:vAlign w:val="bottom"/>
          </w:tcPr>
          <w:p>
            <w:pPr>
              <w:ind w:left="1580"/>
              <w:spacing w:after="0"/>
              <w:rPr>
                <w:sz w:val="20"/>
                <w:szCs w:val="20"/>
                <w:color w:val="auto"/>
              </w:rPr>
            </w:pPr>
            <w:r>
              <w:rPr>
                <w:rFonts w:ascii="Arial" w:cs="Arial" w:eastAsia="Arial" w:hAnsi="Arial"/>
                <w:sz w:val="14"/>
                <w:szCs w:val="14"/>
                <w:color w:val="auto"/>
              </w:rPr>
              <w:t>Bern, Switzerland</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Annax (Suzhou) Rail Systems Co., Ltd</w:t>
            </w:r>
          </w:p>
        </w:tc>
        <w:tc>
          <w:tcPr>
            <w:tcW w:w="3920" w:type="dxa"/>
            <w:vAlign w:val="bottom"/>
          </w:tcPr>
          <w:p>
            <w:pPr>
              <w:ind w:left="1580"/>
              <w:spacing w:after="0"/>
              <w:rPr>
                <w:sz w:val="20"/>
                <w:szCs w:val="20"/>
                <w:color w:val="auto"/>
              </w:rPr>
            </w:pPr>
            <w:r>
              <w:rPr>
                <w:rFonts w:ascii="Arial" w:cs="Arial" w:eastAsia="Arial" w:hAnsi="Arial"/>
                <w:sz w:val="14"/>
                <w:szCs w:val="14"/>
                <w:color w:val="auto"/>
              </w:rPr>
              <w:t>Suzhou, China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Ateliers Hubert Gerken S.A.</w:t>
            </w:r>
          </w:p>
        </w:tc>
        <w:tc>
          <w:tcPr>
            <w:tcW w:w="3920" w:type="dxa"/>
            <w:vAlign w:val="bottom"/>
          </w:tcPr>
          <w:p>
            <w:pPr>
              <w:ind w:left="1580"/>
              <w:spacing w:after="0"/>
              <w:rPr>
                <w:sz w:val="20"/>
                <w:szCs w:val="20"/>
                <w:color w:val="auto"/>
              </w:rPr>
            </w:pPr>
            <w:r>
              <w:rPr>
                <w:rFonts w:ascii="Arial" w:cs="Arial" w:eastAsia="Arial" w:hAnsi="Arial"/>
                <w:sz w:val="14"/>
                <w:szCs w:val="14"/>
                <w:color w:val="auto"/>
              </w:rPr>
              <w:t>Belgium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Austbreck Pty, Ltd.</w:t>
            </w:r>
          </w:p>
        </w:tc>
        <w:tc>
          <w:tcPr>
            <w:tcW w:w="3920" w:type="dxa"/>
            <w:vAlign w:val="bottom"/>
          </w:tcPr>
          <w:p>
            <w:pPr>
              <w:ind w:left="1580"/>
              <w:spacing w:after="0"/>
              <w:rPr>
                <w:sz w:val="20"/>
                <w:szCs w:val="20"/>
                <w:color w:val="auto"/>
              </w:rPr>
            </w:pPr>
            <w:r>
              <w:rPr>
                <w:rFonts w:ascii="Arial" w:cs="Arial" w:eastAsia="Arial" w:hAnsi="Arial"/>
                <w:sz w:val="14"/>
                <w:szCs w:val="14"/>
                <w:color w:val="auto"/>
              </w:rPr>
              <w:t>Hallam, Victoria, Australia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Barber Steel Foundry Corp.</w:t>
            </w:r>
          </w:p>
        </w:tc>
        <w:tc>
          <w:tcPr>
            <w:tcW w:w="3920" w:type="dxa"/>
            <w:vAlign w:val="bottom"/>
          </w:tcPr>
          <w:p>
            <w:pPr>
              <w:ind w:left="1580"/>
              <w:spacing w:after="0"/>
              <w:rPr>
                <w:sz w:val="20"/>
                <w:szCs w:val="20"/>
                <w:color w:val="auto"/>
              </w:rPr>
            </w:pPr>
            <w:r>
              <w:rPr>
                <w:rFonts w:ascii="Arial" w:cs="Arial" w:eastAsia="Arial" w:hAnsi="Arial"/>
                <w:sz w:val="14"/>
                <w:szCs w:val="14"/>
                <w:color w:val="auto"/>
              </w:rPr>
              <w:t>Rothbury, Michigan</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Barber Tian Rui Railway Supply LLC</w:t>
            </w:r>
          </w:p>
        </w:tc>
        <w:tc>
          <w:tcPr>
            <w:tcW w:w="3920" w:type="dxa"/>
            <w:vAlign w:val="bottom"/>
          </w:tcPr>
          <w:p>
            <w:pPr>
              <w:ind w:left="1580"/>
              <w:spacing w:after="0"/>
              <w:rPr>
                <w:sz w:val="20"/>
                <w:szCs w:val="20"/>
                <w:color w:val="auto"/>
              </w:rPr>
            </w:pPr>
            <w:r>
              <w:rPr>
                <w:rFonts w:ascii="Arial" w:cs="Arial" w:eastAsia="Arial" w:hAnsi="Arial"/>
                <w:sz w:val="14"/>
                <w:szCs w:val="14"/>
                <w:color w:val="auto"/>
              </w:rPr>
              <w:t>Park Ridge, Illinois</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Bearward Engineering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Northampton, UK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Becorit GmbH</w:t>
            </w:r>
          </w:p>
        </w:tc>
        <w:tc>
          <w:tcPr>
            <w:tcW w:w="3920" w:type="dxa"/>
            <w:vAlign w:val="bottom"/>
          </w:tcPr>
          <w:p>
            <w:pPr>
              <w:ind w:left="1580"/>
              <w:spacing w:after="0"/>
              <w:rPr>
                <w:sz w:val="20"/>
                <w:szCs w:val="20"/>
                <w:color w:val="auto"/>
              </w:rPr>
            </w:pPr>
            <w:r>
              <w:rPr>
                <w:rFonts w:ascii="Arial" w:cs="Arial" w:eastAsia="Arial" w:hAnsi="Arial"/>
                <w:sz w:val="14"/>
                <w:szCs w:val="14"/>
                <w:color w:val="auto"/>
              </w:rPr>
              <w:t>Recklinghausen,Germany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Beijing Wabtec Huaxia Technology Company Ltd.</w:t>
            </w:r>
          </w:p>
        </w:tc>
        <w:tc>
          <w:tcPr>
            <w:tcW w:w="3920" w:type="dxa"/>
            <w:vAlign w:val="bottom"/>
          </w:tcPr>
          <w:p>
            <w:pPr>
              <w:ind w:left="1580"/>
              <w:spacing w:after="0"/>
              <w:rPr>
                <w:sz w:val="20"/>
                <w:szCs w:val="20"/>
                <w:color w:val="auto"/>
              </w:rPr>
            </w:pPr>
            <w:r>
              <w:rPr>
                <w:rFonts w:ascii="Arial" w:cs="Arial" w:eastAsia="Arial" w:hAnsi="Arial"/>
                <w:sz w:val="14"/>
                <w:szCs w:val="14"/>
                <w:color w:val="auto"/>
              </w:rPr>
              <w:t>Beijing, China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Brecknell Willis &amp; Co., Ltd.</w:t>
            </w:r>
          </w:p>
        </w:tc>
        <w:tc>
          <w:tcPr>
            <w:tcW w:w="3920" w:type="dxa"/>
            <w:vAlign w:val="bottom"/>
          </w:tcPr>
          <w:p>
            <w:pPr>
              <w:ind w:left="1580"/>
              <w:spacing w:after="0"/>
              <w:rPr>
                <w:sz w:val="20"/>
                <w:szCs w:val="20"/>
                <w:color w:val="auto"/>
              </w:rPr>
            </w:pPr>
            <w:r>
              <w:rPr>
                <w:rFonts w:ascii="Arial" w:cs="Arial" w:eastAsia="Arial" w:hAnsi="Arial"/>
                <w:sz w:val="14"/>
                <w:szCs w:val="14"/>
                <w:color w:val="auto"/>
              </w:rPr>
              <w:t>Char, Somerset, UK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Brecknell Willis (Tianjin) Electrification Systems, Co., Ltd.</w:t>
            </w:r>
          </w:p>
        </w:tc>
        <w:tc>
          <w:tcPr>
            <w:tcW w:w="3920" w:type="dxa"/>
            <w:vAlign w:val="bottom"/>
          </w:tcPr>
          <w:p>
            <w:pPr>
              <w:ind w:left="1580"/>
              <w:spacing w:after="0"/>
              <w:rPr>
                <w:sz w:val="20"/>
                <w:szCs w:val="20"/>
                <w:color w:val="auto"/>
              </w:rPr>
            </w:pPr>
            <w:r>
              <w:rPr>
                <w:rFonts w:ascii="Arial" w:cs="Arial" w:eastAsia="Arial" w:hAnsi="Arial"/>
                <w:sz w:val="14"/>
                <w:szCs w:val="14"/>
                <w:color w:val="auto"/>
              </w:rPr>
              <w:t>TianJin, China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Cambridge Forming and Cutting Ltd.</w:t>
            </w:r>
          </w:p>
        </w:tc>
        <w:tc>
          <w:tcPr>
            <w:tcW w:w="3920" w:type="dxa"/>
            <w:vAlign w:val="bottom"/>
          </w:tcPr>
          <w:p>
            <w:pPr>
              <w:ind w:left="1580"/>
              <w:spacing w:after="0"/>
              <w:rPr>
                <w:sz w:val="20"/>
                <w:szCs w:val="20"/>
                <w:color w:val="auto"/>
              </w:rPr>
            </w:pPr>
            <w:r>
              <w:rPr>
                <w:rFonts w:ascii="Arial" w:cs="Arial" w:eastAsia="Arial" w:hAnsi="Arial"/>
                <w:sz w:val="14"/>
                <w:szCs w:val="14"/>
                <w:color w:val="auto"/>
              </w:rPr>
              <w:t>Ontario, Canada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Changzhou CRRC GE Diesel Engine Company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Changzhou, China</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CoFren S.A.S.</w:t>
            </w:r>
          </w:p>
        </w:tc>
        <w:tc>
          <w:tcPr>
            <w:tcW w:w="3920" w:type="dxa"/>
            <w:vAlign w:val="bottom"/>
          </w:tcPr>
          <w:p>
            <w:pPr>
              <w:ind w:left="1580"/>
              <w:spacing w:after="0"/>
              <w:rPr>
                <w:sz w:val="20"/>
                <w:szCs w:val="20"/>
                <w:color w:val="auto"/>
              </w:rPr>
            </w:pPr>
            <w:r>
              <w:rPr>
                <w:rFonts w:ascii="Arial" w:cs="Arial" w:eastAsia="Arial" w:hAnsi="Arial"/>
                <w:sz w:val="14"/>
                <w:szCs w:val="14"/>
                <w:color w:val="auto"/>
              </w:rPr>
              <w:t>Vierzon, France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CoFren S.r.l.</w:t>
            </w:r>
          </w:p>
        </w:tc>
        <w:tc>
          <w:tcPr>
            <w:tcW w:w="3920" w:type="dxa"/>
            <w:vAlign w:val="bottom"/>
          </w:tcPr>
          <w:p>
            <w:pPr>
              <w:ind w:left="1580"/>
              <w:spacing w:after="0"/>
              <w:rPr>
                <w:sz w:val="20"/>
                <w:szCs w:val="20"/>
                <w:color w:val="auto"/>
              </w:rPr>
            </w:pPr>
            <w:r>
              <w:rPr>
                <w:rFonts w:ascii="Arial" w:cs="Arial" w:eastAsia="Arial" w:hAnsi="Arial"/>
                <w:sz w:val="14"/>
                <w:szCs w:val="14"/>
                <w:color w:val="auto"/>
              </w:rPr>
              <w:t>Avellino, Italy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Coleman Hydraulics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Burton-on-Trent, UK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CZ-Carbon Prodcuts s.r.o.</w:t>
            </w:r>
          </w:p>
        </w:tc>
        <w:tc>
          <w:tcPr>
            <w:tcW w:w="3920" w:type="dxa"/>
            <w:vAlign w:val="bottom"/>
          </w:tcPr>
          <w:p>
            <w:pPr>
              <w:ind w:left="1580"/>
              <w:spacing w:after="0"/>
              <w:rPr>
                <w:sz w:val="20"/>
                <w:szCs w:val="20"/>
                <w:color w:val="auto"/>
              </w:rPr>
            </w:pPr>
            <w:r>
              <w:rPr>
                <w:rFonts w:ascii="Arial" w:cs="Arial" w:eastAsia="Arial" w:hAnsi="Arial"/>
                <w:sz w:val="14"/>
                <w:szCs w:val="14"/>
                <w:color w:val="auto"/>
              </w:rPr>
              <w:t>Czech Republic</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Datong Faiveley Railway Vehicle Equipment Co. Ltd.</w:t>
            </w:r>
          </w:p>
        </w:tc>
        <w:tc>
          <w:tcPr>
            <w:tcW w:w="3920" w:type="dxa"/>
            <w:vAlign w:val="bottom"/>
          </w:tcPr>
          <w:p>
            <w:pPr>
              <w:ind w:left="1580"/>
              <w:spacing w:after="0"/>
              <w:rPr>
                <w:sz w:val="20"/>
                <w:szCs w:val="20"/>
                <w:color w:val="auto"/>
              </w:rPr>
            </w:pPr>
            <w:r>
              <w:rPr>
                <w:rFonts w:ascii="Arial" w:cs="Arial" w:eastAsia="Arial" w:hAnsi="Arial"/>
                <w:sz w:val="14"/>
                <w:szCs w:val="14"/>
                <w:color w:val="auto"/>
              </w:rPr>
              <w:t>Datong City, China</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Deptol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Dublin, Ireland</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Durox Company</w:t>
            </w:r>
          </w:p>
        </w:tc>
        <w:tc>
          <w:tcPr>
            <w:tcW w:w="3920" w:type="dxa"/>
            <w:vAlign w:val="bottom"/>
          </w:tcPr>
          <w:p>
            <w:pPr>
              <w:ind w:left="1580"/>
              <w:spacing w:after="0"/>
              <w:rPr>
                <w:sz w:val="20"/>
                <w:szCs w:val="20"/>
                <w:color w:val="auto"/>
              </w:rPr>
            </w:pPr>
            <w:r>
              <w:rPr>
                <w:rFonts w:ascii="Arial" w:cs="Arial" w:eastAsia="Arial" w:hAnsi="Arial"/>
                <w:sz w:val="14"/>
                <w:szCs w:val="14"/>
                <w:color w:val="auto"/>
              </w:rPr>
              <w:t>Strongville, Ohio</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East Erie Commercial Railroad</w:t>
            </w:r>
          </w:p>
        </w:tc>
        <w:tc>
          <w:tcPr>
            <w:tcW w:w="3920" w:type="dxa"/>
            <w:vAlign w:val="bottom"/>
          </w:tcPr>
          <w:p>
            <w:pPr>
              <w:ind w:left="1580"/>
              <w:spacing w:after="0"/>
              <w:rPr>
                <w:sz w:val="20"/>
                <w:szCs w:val="20"/>
                <w:color w:val="auto"/>
              </w:rPr>
            </w:pPr>
            <w:r>
              <w:rPr>
                <w:rFonts w:ascii="Arial" w:cs="Arial" w:eastAsia="Arial" w:hAnsi="Arial"/>
                <w:sz w:val="14"/>
                <w:szCs w:val="14"/>
                <w:color w:val="auto"/>
              </w:rPr>
              <w:t>Erie, Pennsylvania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E-Carbon Asia Sdn. Bhd.</w:t>
            </w:r>
          </w:p>
        </w:tc>
        <w:tc>
          <w:tcPr>
            <w:tcW w:w="3920" w:type="dxa"/>
            <w:vAlign w:val="bottom"/>
          </w:tcPr>
          <w:p>
            <w:pPr>
              <w:ind w:left="1580"/>
              <w:spacing w:after="0"/>
              <w:rPr>
                <w:sz w:val="20"/>
                <w:szCs w:val="20"/>
                <w:color w:val="auto"/>
              </w:rPr>
            </w:pPr>
            <w:r>
              <w:rPr>
                <w:rFonts w:ascii="Arial" w:cs="Arial" w:eastAsia="Arial" w:hAnsi="Arial"/>
                <w:sz w:val="14"/>
                <w:szCs w:val="14"/>
                <w:color w:val="auto"/>
              </w:rPr>
              <w:t>China</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E-Carbon China Co., Ltd.</w:t>
            </w:r>
          </w:p>
        </w:tc>
        <w:tc>
          <w:tcPr>
            <w:tcW w:w="3920" w:type="dxa"/>
            <w:vAlign w:val="bottom"/>
          </w:tcPr>
          <w:p>
            <w:pPr>
              <w:ind w:left="1580"/>
              <w:spacing w:after="0"/>
              <w:rPr>
                <w:sz w:val="20"/>
                <w:szCs w:val="20"/>
                <w:color w:val="auto"/>
              </w:rPr>
            </w:pPr>
            <w:r>
              <w:rPr>
                <w:rFonts w:ascii="Arial" w:cs="Arial" w:eastAsia="Arial" w:hAnsi="Arial"/>
                <w:sz w:val="14"/>
                <w:szCs w:val="14"/>
                <w:color w:val="auto"/>
              </w:rPr>
              <w:t>China</w:t>
            </w:r>
          </w:p>
        </w:tc>
        <w:tc>
          <w:tcPr>
            <w:tcW w:w="224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E-Carbon Far East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Hong Kong</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E-Carbon Far East Ltd. Shanghai</w:t>
            </w:r>
          </w:p>
        </w:tc>
        <w:tc>
          <w:tcPr>
            <w:tcW w:w="3920" w:type="dxa"/>
            <w:vAlign w:val="bottom"/>
          </w:tcPr>
          <w:p>
            <w:pPr>
              <w:ind w:left="1580"/>
              <w:spacing w:after="0"/>
              <w:rPr>
                <w:sz w:val="20"/>
                <w:szCs w:val="20"/>
                <w:color w:val="auto"/>
              </w:rPr>
            </w:pPr>
            <w:r>
              <w:rPr>
                <w:rFonts w:ascii="Arial" w:cs="Arial" w:eastAsia="Arial" w:hAnsi="Arial"/>
                <w:sz w:val="14"/>
                <w:szCs w:val="14"/>
                <w:color w:val="auto"/>
              </w:rPr>
              <w:t>Shanghai, China</w:t>
            </w:r>
          </w:p>
        </w:tc>
        <w:tc>
          <w:tcPr>
            <w:tcW w:w="224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E-Carbon H.K.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Hong Kong</w:t>
            </w:r>
          </w:p>
        </w:tc>
        <w:tc>
          <w:tcPr>
            <w:tcW w:w="224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E-Carbon S.A.</w:t>
            </w:r>
          </w:p>
        </w:tc>
        <w:tc>
          <w:tcPr>
            <w:tcW w:w="3920" w:type="dxa"/>
            <w:vAlign w:val="bottom"/>
          </w:tcPr>
          <w:p>
            <w:pPr>
              <w:ind w:left="1580"/>
              <w:spacing w:after="0"/>
              <w:rPr>
                <w:sz w:val="20"/>
                <w:szCs w:val="20"/>
                <w:color w:val="auto"/>
              </w:rPr>
            </w:pPr>
            <w:r>
              <w:rPr>
                <w:rFonts w:ascii="Arial" w:cs="Arial" w:eastAsia="Arial" w:hAnsi="Arial"/>
                <w:sz w:val="14"/>
                <w:szCs w:val="14"/>
                <w:color w:val="auto"/>
              </w:rPr>
              <w:t>Belgium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Electrical Carbon UK Limited</w:t>
            </w:r>
          </w:p>
        </w:tc>
        <w:tc>
          <w:tcPr>
            <w:tcW w:w="392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Evand Pty Ltd.</w:t>
            </w:r>
          </w:p>
        </w:tc>
        <w:tc>
          <w:tcPr>
            <w:tcW w:w="3920" w:type="dxa"/>
            <w:vAlign w:val="bottom"/>
          </w:tcPr>
          <w:p>
            <w:pPr>
              <w:ind w:left="1580"/>
              <w:spacing w:after="0"/>
              <w:rPr>
                <w:sz w:val="20"/>
                <w:szCs w:val="20"/>
                <w:color w:val="auto"/>
              </w:rPr>
            </w:pPr>
            <w:r>
              <w:rPr>
                <w:rFonts w:ascii="Arial" w:cs="Arial" w:eastAsia="Arial" w:hAnsi="Arial"/>
                <w:sz w:val="14"/>
                <w:szCs w:val="14"/>
                <w:color w:val="auto"/>
              </w:rPr>
              <w:t>Wetherill Park, Australia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Rail Engineering Singapore Pte Ltd</w:t>
            </w:r>
          </w:p>
        </w:tc>
        <w:tc>
          <w:tcPr>
            <w:tcW w:w="3920" w:type="dxa"/>
            <w:vAlign w:val="bottom"/>
          </w:tcPr>
          <w:p>
            <w:pPr>
              <w:ind w:left="1580"/>
              <w:spacing w:after="0"/>
              <w:rPr>
                <w:sz w:val="20"/>
                <w:szCs w:val="20"/>
                <w:color w:val="auto"/>
              </w:rPr>
            </w:pPr>
            <w:r>
              <w:rPr>
                <w:rFonts w:ascii="Arial" w:cs="Arial" w:eastAsia="Arial" w:hAnsi="Arial"/>
                <w:sz w:val="14"/>
                <w:szCs w:val="14"/>
                <w:color w:val="auto"/>
              </w:rPr>
              <w:t>Singapore</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Amiens</w:t>
            </w:r>
          </w:p>
        </w:tc>
        <w:tc>
          <w:tcPr>
            <w:tcW w:w="3920" w:type="dxa"/>
            <w:vAlign w:val="bottom"/>
          </w:tcPr>
          <w:p>
            <w:pPr>
              <w:ind w:left="1580"/>
              <w:spacing w:after="0"/>
              <w:rPr>
                <w:sz w:val="20"/>
                <w:szCs w:val="20"/>
                <w:color w:val="auto"/>
              </w:rPr>
            </w:pPr>
            <w:r>
              <w:rPr>
                <w:rFonts w:ascii="Arial" w:cs="Arial" w:eastAsia="Arial" w:hAnsi="Arial"/>
                <w:sz w:val="14"/>
                <w:szCs w:val="14"/>
                <w:color w:val="auto"/>
              </w:rPr>
              <w:t>Amiens, France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Asia Pacific Ltd.</w:t>
            </w:r>
          </w:p>
        </w:tc>
        <w:tc>
          <w:tcPr>
            <w:tcW w:w="3920" w:type="dxa"/>
            <w:vAlign w:val="bottom"/>
          </w:tcPr>
          <w:p>
            <w:pPr>
              <w:ind w:left="1580"/>
              <w:spacing w:after="0"/>
              <w:rPr>
                <w:sz w:val="20"/>
                <w:szCs w:val="20"/>
                <w:color w:val="auto"/>
              </w:rPr>
            </w:pPr>
            <w:r>
              <w:rPr>
                <w:rFonts w:ascii="Arial" w:cs="Arial" w:eastAsia="Arial" w:hAnsi="Arial"/>
                <w:sz w:val="14"/>
                <w:szCs w:val="14"/>
                <w:color w:val="auto"/>
              </w:rPr>
              <w:t>Hong Kong</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Australia Ltd.</w:t>
            </w:r>
          </w:p>
        </w:tc>
        <w:tc>
          <w:tcPr>
            <w:tcW w:w="3920" w:type="dxa"/>
            <w:vAlign w:val="bottom"/>
          </w:tcPr>
          <w:p>
            <w:pPr>
              <w:ind w:left="1580"/>
              <w:spacing w:after="0"/>
              <w:rPr>
                <w:sz w:val="20"/>
                <w:szCs w:val="20"/>
                <w:color w:val="auto"/>
              </w:rPr>
            </w:pPr>
            <w:r>
              <w:rPr>
                <w:rFonts w:ascii="Arial" w:cs="Arial" w:eastAsia="Arial" w:hAnsi="Arial"/>
                <w:sz w:val="14"/>
                <w:szCs w:val="14"/>
                <w:color w:val="auto"/>
              </w:rPr>
              <w:t>Rosehill, Australia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Birkenhead Ltd.</w:t>
            </w:r>
          </w:p>
        </w:tc>
        <w:tc>
          <w:tcPr>
            <w:tcW w:w="3920" w:type="dxa"/>
            <w:vAlign w:val="bottom"/>
          </w:tcPr>
          <w:p>
            <w:pPr>
              <w:ind w:left="1580"/>
              <w:spacing w:after="0"/>
              <w:rPr>
                <w:sz w:val="20"/>
                <w:szCs w:val="20"/>
                <w:color w:val="auto"/>
              </w:rPr>
            </w:pPr>
            <w:r>
              <w:rPr>
                <w:rFonts w:ascii="Arial" w:cs="Arial" w:eastAsia="Arial" w:hAnsi="Arial"/>
                <w:sz w:val="14"/>
                <w:szCs w:val="14"/>
                <w:color w:val="auto"/>
              </w:rPr>
              <w:t>Birkenhead, UK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Canada Inc.</w:t>
            </w:r>
          </w:p>
        </w:tc>
        <w:tc>
          <w:tcPr>
            <w:tcW w:w="3920" w:type="dxa"/>
            <w:vAlign w:val="bottom"/>
          </w:tcPr>
          <w:p>
            <w:pPr>
              <w:ind w:left="1580"/>
              <w:spacing w:after="0"/>
              <w:rPr>
                <w:sz w:val="20"/>
                <w:szCs w:val="20"/>
                <w:color w:val="auto"/>
              </w:rPr>
            </w:pPr>
            <w:r>
              <w:rPr>
                <w:rFonts w:ascii="Arial" w:cs="Arial" w:eastAsia="Arial" w:hAnsi="Arial"/>
                <w:sz w:val="14"/>
                <w:szCs w:val="14"/>
                <w:color w:val="auto"/>
              </w:rPr>
              <w:t>Montreal, Canada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Czech a.s.</w:t>
            </w:r>
          </w:p>
        </w:tc>
        <w:tc>
          <w:tcPr>
            <w:tcW w:w="3920" w:type="dxa"/>
            <w:vAlign w:val="bottom"/>
          </w:tcPr>
          <w:p>
            <w:pPr>
              <w:ind w:left="1580"/>
              <w:spacing w:after="0"/>
              <w:rPr>
                <w:sz w:val="20"/>
                <w:szCs w:val="20"/>
                <w:color w:val="auto"/>
              </w:rPr>
            </w:pPr>
            <w:r>
              <w:rPr>
                <w:rFonts w:ascii="Arial" w:cs="Arial" w:eastAsia="Arial" w:hAnsi="Arial"/>
                <w:sz w:val="14"/>
                <w:szCs w:val="14"/>
                <w:color w:val="auto"/>
              </w:rPr>
              <w:t>Blovice, Czech Republic</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Chile Ltda.</w:t>
            </w:r>
          </w:p>
        </w:tc>
        <w:tc>
          <w:tcPr>
            <w:tcW w:w="3920" w:type="dxa"/>
            <w:vAlign w:val="bottom"/>
          </w:tcPr>
          <w:p>
            <w:pPr>
              <w:ind w:left="1580"/>
              <w:spacing w:after="0"/>
              <w:rPr>
                <w:sz w:val="20"/>
                <w:szCs w:val="20"/>
                <w:color w:val="auto"/>
              </w:rPr>
            </w:pPr>
            <w:r>
              <w:rPr>
                <w:rFonts w:ascii="Arial" w:cs="Arial" w:eastAsia="Arial" w:hAnsi="Arial"/>
                <w:sz w:val="14"/>
                <w:szCs w:val="14"/>
                <w:color w:val="auto"/>
              </w:rPr>
              <w:t>Santiago, Chile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DO Brasil Ltda.</w:t>
            </w:r>
          </w:p>
        </w:tc>
        <w:tc>
          <w:tcPr>
            <w:tcW w:w="3920" w:type="dxa"/>
            <w:vAlign w:val="bottom"/>
          </w:tcPr>
          <w:p>
            <w:pPr>
              <w:ind w:left="1580"/>
              <w:spacing w:after="0"/>
              <w:rPr>
                <w:sz w:val="20"/>
                <w:szCs w:val="20"/>
                <w:color w:val="auto"/>
              </w:rPr>
            </w:pPr>
            <w:r>
              <w:rPr>
                <w:rFonts w:ascii="Arial" w:cs="Arial" w:eastAsia="Arial" w:hAnsi="Arial"/>
                <w:sz w:val="14"/>
                <w:szCs w:val="14"/>
                <w:color w:val="auto"/>
              </w:rPr>
              <w:t>Sao Paulo, Brazil</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Far East Ltd</w:t>
            </w:r>
          </w:p>
        </w:tc>
        <w:tc>
          <w:tcPr>
            <w:tcW w:w="3920" w:type="dxa"/>
            <w:vAlign w:val="bottom"/>
          </w:tcPr>
          <w:p>
            <w:pPr>
              <w:ind w:left="1580"/>
              <w:spacing w:after="0"/>
              <w:rPr>
                <w:sz w:val="20"/>
                <w:szCs w:val="20"/>
                <w:color w:val="auto"/>
              </w:rPr>
            </w:pPr>
            <w:r>
              <w:rPr>
                <w:rFonts w:ascii="Arial" w:cs="Arial" w:eastAsia="Arial" w:hAnsi="Arial"/>
                <w:sz w:val="14"/>
                <w:szCs w:val="14"/>
                <w:color w:val="auto"/>
              </w:rPr>
              <w:t>Hong Kong</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Holding Gmbh &amp; co KG</w:t>
            </w:r>
          </w:p>
        </w:tc>
        <w:tc>
          <w:tcPr>
            <w:tcW w:w="3920" w:type="dxa"/>
            <w:vAlign w:val="bottom"/>
          </w:tcPr>
          <w:p>
            <w:pPr>
              <w:ind w:left="1580"/>
              <w:spacing w:after="0"/>
              <w:rPr>
                <w:sz w:val="20"/>
                <w:szCs w:val="20"/>
                <w:color w:val="auto"/>
              </w:rPr>
            </w:pPr>
            <w:r>
              <w:rPr>
                <w:rFonts w:ascii="Arial" w:cs="Arial" w:eastAsia="Arial" w:hAnsi="Arial"/>
                <w:sz w:val="14"/>
                <w:szCs w:val="14"/>
                <w:color w:val="auto"/>
              </w:rPr>
              <w:t>Whitten, 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Iberica SA</w:t>
            </w:r>
          </w:p>
        </w:tc>
        <w:tc>
          <w:tcPr>
            <w:tcW w:w="3920" w:type="dxa"/>
            <w:vAlign w:val="bottom"/>
          </w:tcPr>
          <w:p>
            <w:pPr>
              <w:ind w:left="1580"/>
              <w:spacing w:after="0"/>
              <w:rPr>
                <w:sz w:val="20"/>
                <w:szCs w:val="20"/>
                <w:color w:val="auto"/>
              </w:rPr>
            </w:pPr>
            <w:r>
              <w:rPr>
                <w:rFonts w:ascii="Arial" w:cs="Arial" w:eastAsia="Arial" w:hAnsi="Arial"/>
                <w:sz w:val="14"/>
                <w:szCs w:val="14"/>
                <w:color w:val="auto"/>
              </w:rPr>
              <w:t>La Selva del Camp, Spain</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40" w:type="dxa"/>
            <w:vAlign w:val="bottom"/>
          </w:tcPr>
          <w:p>
            <w:pPr>
              <w:spacing w:after="0"/>
              <w:rPr>
                <w:sz w:val="20"/>
                <w:szCs w:val="20"/>
                <w:color w:val="auto"/>
              </w:rPr>
            </w:pPr>
            <w:r>
              <w:rPr>
                <w:rFonts w:ascii="Arial" w:cs="Arial" w:eastAsia="Arial" w:hAnsi="Arial"/>
                <w:sz w:val="14"/>
                <w:szCs w:val="14"/>
                <w:color w:val="auto"/>
              </w:rPr>
              <w:t>Faiveley Transport Italia Spa</w:t>
            </w:r>
          </w:p>
        </w:tc>
        <w:tc>
          <w:tcPr>
            <w:tcW w:w="3920" w:type="dxa"/>
            <w:vAlign w:val="bottom"/>
          </w:tcPr>
          <w:p>
            <w:pPr>
              <w:ind w:left="1580"/>
              <w:spacing w:after="0"/>
              <w:rPr>
                <w:sz w:val="20"/>
                <w:szCs w:val="20"/>
                <w:color w:val="auto"/>
              </w:rPr>
            </w:pPr>
            <w:r>
              <w:rPr>
                <w:rFonts w:ascii="Arial" w:cs="Arial" w:eastAsia="Arial" w:hAnsi="Arial"/>
                <w:sz w:val="14"/>
                <w:szCs w:val="14"/>
                <w:color w:val="auto"/>
              </w:rPr>
              <w:t>Turin, Italy</w:t>
            </w:r>
          </w:p>
        </w:tc>
        <w:tc>
          <w:tcPr>
            <w:tcW w:w="2240" w:type="dxa"/>
            <w:vAlign w:val="bottom"/>
          </w:tcPr>
          <w:p>
            <w:pPr>
              <w:jc w:val="right"/>
              <w:spacing w:after="0"/>
              <w:rPr>
                <w:sz w:val="20"/>
                <w:szCs w:val="20"/>
                <w:color w:val="auto"/>
              </w:rPr>
            </w:pPr>
            <w:r>
              <w:rPr>
                <w:rFonts w:ascii="Arial" w:cs="Arial" w:eastAsia="Arial" w:hAnsi="Arial"/>
                <w:sz w:val="14"/>
                <w:szCs w:val="14"/>
                <w:color w:val="auto"/>
              </w:rPr>
              <w:t>98.7 %</w:t>
            </w:r>
          </w:p>
        </w:tc>
      </w:tr>
    </w:tbl>
    <w:p>
      <w:pPr>
        <w:sectPr>
          <w:pgSz w:w="11900" w:h="16838" w:orient="portrait"/>
          <w:cols w:equalWidth="0" w:num="1">
            <w:col w:w="11200"/>
          </w:cols>
          <w:pgMar w:left="340" w:top="1440" w:right="359" w:bottom="1440" w:gutter="0" w:footer="0" w:header="0"/>
        </w:sectPr>
      </w:pPr>
    </w:p>
    <w:bookmarkStart w:id="104" w:name="page105"/>
    <w:bookmarkEnd w:id="10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20" w:type="dxa"/>
            <w:vAlign w:val="bottom"/>
          </w:tcPr>
          <w:p>
            <w:pPr>
              <w:spacing w:after="0"/>
              <w:rPr>
                <w:sz w:val="20"/>
                <w:szCs w:val="20"/>
                <w:color w:val="auto"/>
              </w:rPr>
            </w:pPr>
            <w:r>
              <w:rPr>
                <w:rFonts w:ascii="Arial" w:cs="Arial" w:eastAsia="Arial" w:hAnsi="Arial"/>
                <w:sz w:val="14"/>
                <w:szCs w:val="14"/>
                <w:color w:val="auto"/>
              </w:rPr>
              <w:t>Faiveley Transport Korea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Seoul, Korea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Leipzig GmbH &amp; Co-KG</w:t>
            </w:r>
          </w:p>
        </w:tc>
        <w:tc>
          <w:tcPr>
            <w:tcW w:w="4580" w:type="dxa"/>
            <w:vAlign w:val="bottom"/>
          </w:tcPr>
          <w:p>
            <w:pPr>
              <w:ind w:left="1620"/>
              <w:spacing w:after="0"/>
              <w:rPr>
                <w:sz w:val="20"/>
                <w:szCs w:val="20"/>
                <w:color w:val="auto"/>
              </w:rPr>
            </w:pPr>
            <w:r>
              <w:rPr>
                <w:rFonts w:ascii="Arial" w:cs="Arial" w:eastAsia="Arial" w:hAnsi="Arial"/>
                <w:sz w:val="14"/>
                <w:szCs w:val="14"/>
                <w:color w:val="auto"/>
              </w:rPr>
              <w:t>Scheuditz, Germany</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Malmo AB</w:t>
            </w:r>
          </w:p>
        </w:tc>
        <w:tc>
          <w:tcPr>
            <w:tcW w:w="4580" w:type="dxa"/>
            <w:vAlign w:val="bottom"/>
          </w:tcPr>
          <w:p>
            <w:pPr>
              <w:ind w:left="1620"/>
              <w:spacing w:after="0"/>
              <w:rPr>
                <w:sz w:val="20"/>
                <w:szCs w:val="20"/>
                <w:color w:val="auto"/>
              </w:rPr>
            </w:pPr>
            <w:r>
              <w:rPr>
                <w:rFonts w:ascii="Arial" w:cs="Arial" w:eastAsia="Arial" w:hAnsi="Arial"/>
                <w:sz w:val="14"/>
                <w:szCs w:val="14"/>
                <w:color w:val="auto"/>
              </w:rPr>
              <w:t>Landskrona, Sweden</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Metro Technology Shanghai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Shanghai,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Metro Technology Taiwan Ltd.</w:t>
            </w:r>
          </w:p>
        </w:tc>
        <w:tc>
          <w:tcPr>
            <w:tcW w:w="4580" w:type="dxa"/>
            <w:vAlign w:val="bottom"/>
          </w:tcPr>
          <w:p>
            <w:pPr>
              <w:ind w:left="1620"/>
              <w:spacing w:after="0"/>
              <w:rPr>
                <w:sz w:val="20"/>
                <w:szCs w:val="20"/>
                <w:color w:val="auto"/>
              </w:rPr>
            </w:pPr>
            <w:r>
              <w:rPr>
                <w:rFonts w:ascii="Arial" w:cs="Arial" w:eastAsia="Arial" w:hAnsi="Arial"/>
                <w:sz w:val="14"/>
                <w:szCs w:val="14"/>
                <w:color w:val="auto"/>
              </w:rPr>
              <w:t>Taipei, Taiwan</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Metro Technology Thailand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Bangkok, Thailand</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Nordic AB</w:t>
            </w:r>
          </w:p>
        </w:tc>
        <w:tc>
          <w:tcPr>
            <w:tcW w:w="4580" w:type="dxa"/>
            <w:vAlign w:val="bottom"/>
          </w:tcPr>
          <w:p>
            <w:pPr>
              <w:ind w:left="1620"/>
              <w:spacing w:after="0"/>
              <w:rPr>
                <w:sz w:val="20"/>
                <w:szCs w:val="20"/>
                <w:color w:val="auto"/>
              </w:rPr>
            </w:pPr>
            <w:r>
              <w:rPr>
                <w:rFonts w:ascii="Arial" w:cs="Arial" w:eastAsia="Arial" w:hAnsi="Arial"/>
                <w:sz w:val="14"/>
                <w:szCs w:val="14"/>
                <w:color w:val="auto"/>
              </w:rPr>
              <w:t>Landskrona, Sweden</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North America Inc</w:t>
            </w:r>
          </w:p>
        </w:tc>
        <w:tc>
          <w:tcPr>
            <w:tcW w:w="4580" w:type="dxa"/>
            <w:vAlign w:val="bottom"/>
          </w:tcPr>
          <w:p>
            <w:pPr>
              <w:ind w:left="1620"/>
              <w:spacing w:after="0"/>
              <w:rPr>
                <w:sz w:val="20"/>
                <w:szCs w:val="20"/>
                <w:color w:val="auto"/>
              </w:rPr>
            </w:pPr>
            <w:r>
              <w:rPr>
                <w:rFonts w:ascii="Arial" w:cs="Arial" w:eastAsia="Arial" w:hAnsi="Arial"/>
                <w:sz w:val="14"/>
                <w:szCs w:val="14"/>
                <w:color w:val="auto"/>
              </w:rPr>
              <w:t>Greenville, South Carolina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Nowe GmbH</w:t>
            </w:r>
          </w:p>
        </w:tc>
        <w:tc>
          <w:tcPr>
            <w:tcW w:w="4580" w:type="dxa"/>
            <w:vAlign w:val="bottom"/>
          </w:tcPr>
          <w:p>
            <w:pPr>
              <w:ind w:left="1620"/>
              <w:spacing w:after="0"/>
              <w:rPr>
                <w:sz w:val="20"/>
                <w:szCs w:val="20"/>
                <w:color w:val="auto"/>
              </w:rPr>
            </w:pPr>
            <w:r>
              <w:rPr>
                <w:rFonts w:ascii="Arial" w:cs="Arial" w:eastAsia="Arial" w:hAnsi="Arial"/>
                <w:sz w:val="14"/>
                <w:szCs w:val="14"/>
                <w:color w:val="auto"/>
              </w:rPr>
              <w:t>Elze, Germany</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NSF</w:t>
            </w:r>
          </w:p>
        </w:tc>
        <w:tc>
          <w:tcPr>
            <w:tcW w:w="4580" w:type="dxa"/>
            <w:vAlign w:val="bottom"/>
          </w:tcPr>
          <w:p>
            <w:pPr>
              <w:ind w:left="1620"/>
              <w:spacing w:after="0"/>
              <w:rPr>
                <w:sz w:val="20"/>
                <w:szCs w:val="20"/>
                <w:color w:val="auto"/>
              </w:rPr>
            </w:pPr>
            <w:r>
              <w:rPr>
                <w:rFonts w:ascii="Arial" w:cs="Arial" w:eastAsia="Arial" w:hAnsi="Arial"/>
                <w:sz w:val="14"/>
                <w:szCs w:val="14"/>
                <w:color w:val="auto"/>
              </w:rPr>
              <w:t>Neuville en Ferrain, France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Plezn s.r.o.</w:t>
            </w:r>
          </w:p>
        </w:tc>
        <w:tc>
          <w:tcPr>
            <w:tcW w:w="4580" w:type="dxa"/>
            <w:vAlign w:val="bottom"/>
          </w:tcPr>
          <w:p>
            <w:pPr>
              <w:ind w:left="1620"/>
              <w:spacing w:after="0"/>
              <w:rPr>
                <w:sz w:val="20"/>
                <w:szCs w:val="20"/>
                <w:color w:val="auto"/>
              </w:rPr>
            </w:pPr>
            <w:r>
              <w:rPr>
                <w:rFonts w:ascii="Arial" w:cs="Arial" w:eastAsia="Arial" w:hAnsi="Arial"/>
                <w:sz w:val="14"/>
                <w:szCs w:val="14"/>
                <w:color w:val="auto"/>
              </w:rPr>
              <w:t>Nyrany, Chech Republic</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Polska zoo</w:t>
            </w:r>
          </w:p>
        </w:tc>
        <w:tc>
          <w:tcPr>
            <w:tcW w:w="4580" w:type="dxa"/>
            <w:vAlign w:val="bottom"/>
          </w:tcPr>
          <w:p>
            <w:pPr>
              <w:ind w:left="1620"/>
              <w:spacing w:after="0"/>
              <w:rPr>
                <w:sz w:val="20"/>
                <w:szCs w:val="20"/>
                <w:color w:val="auto"/>
              </w:rPr>
            </w:pPr>
            <w:r>
              <w:rPr>
                <w:rFonts w:ascii="Arial" w:cs="Arial" w:eastAsia="Arial" w:hAnsi="Arial"/>
                <w:sz w:val="14"/>
                <w:szCs w:val="14"/>
                <w:color w:val="auto"/>
              </w:rPr>
              <w:t>Poznan, Poland</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Rail Technologies India Ltd.</w:t>
            </w:r>
          </w:p>
        </w:tc>
        <w:tc>
          <w:tcPr>
            <w:tcW w:w="4580" w:type="dxa"/>
            <w:vAlign w:val="bottom"/>
          </w:tcPr>
          <w:p>
            <w:pPr>
              <w:ind w:left="1620"/>
              <w:spacing w:after="0"/>
              <w:rPr>
                <w:sz w:val="20"/>
                <w:szCs w:val="20"/>
                <w:color w:val="auto"/>
              </w:rPr>
            </w:pPr>
            <w:r>
              <w:rPr>
                <w:rFonts w:ascii="Arial" w:cs="Arial" w:eastAsia="Arial" w:hAnsi="Arial"/>
                <w:sz w:val="14"/>
                <w:szCs w:val="14"/>
                <w:color w:val="auto"/>
              </w:rPr>
              <w:t>Himachal Pradesh, India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Railway Trading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Shanghai,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SAS.</w:t>
            </w:r>
          </w:p>
        </w:tc>
        <w:tc>
          <w:tcPr>
            <w:tcW w:w="4580" w:type="dxa"/>
            <w:vAlign w:val="bottom"/>
          </w:tcPr>
          <w:p>
            <w:pPr>
              <w:ind w:left="1620"/>
              <w:spacing w:after="0"/>
              <w:rPr>
                <w:sz w:val="20"/>
                <w:szCs w:val="20"/>
                <w:color w:val="auto"/>
              </w:rPr>
            </w:pPr>
            <w:r>
              <w:rPr>
                <w:rFonts w:ascii="Arial" w:cs="Arial" w:eastAsia="Arial" w:hAnsi="Arial"/>
                <w:sz w:val="14"/>
                <w:szCs w:val="14"/>
                <w:color w:val="auto"/>
              </w:rPr>
              <w:t>Gennevilliers, France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Schwab AG</w:t>
            </w:r>
          </w:p>
        </w:tc>
        <w:tc>
          <w:tcPr>
            <w:tcW w:w="4580" w:type="dxa"/>
            <w:vAlign w:val="bottom"/>
          </w:tcPr>
          <w:p>
            <w:pPr>
              <w:ind w:left="1620"/>
              <w:spacing w:after="0"/>
              <w:rPr>
                <w:sz w:val="20"/>
                <w:szCs w:val="20"/>
                <w:color w:val="auto"/>
              </w:rPr>
            </w:pPr>
            <w:r>
              <w:rPr>
                <w:rFonts w:ascii="Arial" w:cs="Arial" w:eastAsia="Arial" w:hAnsi="Arial"/>
                <w:sz w:val="14"/>
                <w:szCs w:val="14"/>
                <w:color w:val="auto"/>
              </w:rPr>
              <w:t>Schaffhausen, Switzerland</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Schweiz AG</w:t>
            </w:r>
          </w:p>
        </w:tc>
        <w:tc>
          <w:tcPr>
            <w:tcW w:w="4580" w:type="dxa"/>
            <w:vAlign w:val="bottom"/>
          </w:tcPr>
          <w:p>
            <w:pPr>
              <w:ind w:left="1620"/>
              <w:spacing w:after="0"/>
              <w:rPr>
                <w:sz w:val="20"/>
                <w:szCs w:val="20"/>
                <w:color w:val="auto"/>
              </w:rPr>
            </w:pPr>
            <w:r>
              <w:rPr>
                <w:rFonts w:ascii="Arial" w:cs="Arial" w:eastAsia="Arial" w:hAnsi="Arial"/>
                <w:sz w:val="14"/>
                <w:szCs w:val="14"/>
                <w:color w:val="auto"/>
              </w:rPr>
              <w:t>Hagendorf, Switzerland</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Service Maroc</w:t>
            </w:r>
          </w:p>
        </w:tc>
        <w:tc>
          <w:tcPr>
            <w:tcW w:w="4580" w:type="dxa"/>
            <w:vAlign w:val="bottom"/>
          </w:tcPr>
          <w:p>
            <w:pPr>
              <w:ind w:left="1620"/>
              <w:spacing w:after="0"/>
              <w:rPr>
                <w:sz w:val="20"/>
                <w:szCs w:val="20"/>
                <w:color w:val="auto"/>
              </w:rPr>
            </w:pPr>
            <w:r>
              <w:rPr>
                <w:rFonts w:ascii="Arial" w:cs="Arial" w:eastAsia="Arial" w:hAnsi="Arial"/>
                <w:sz w:val="14"/>
                <w:szCs w:val="14"/>
                <w:color w:val="auto"/>
              </w:rPr>
              <w:t>Casablanca, Morocco</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South Africa Pty (Ltd)</w:t>
            </w:r>
          </w:p>
        </w:tc>
        <w:tc>
          <w:tcPr>
            <w:tcW w:w="4580" w:type="dxa"/>
            <w:vAlign w:val="bottom"/>
          </w:tcPr>
          <w:p>
            <w:pPr>
              <w:ind w:left="1620"/>
              <w:spacing w:after="0"/>
              <w:rPr>
                <w:sz w:val="20"/>
                <w:szCs w:val="20"/>
                <w:color w:val="auto"/>
              </w:rPr>
            </w:pPr>
            <w:r>
              <w:rPr>
                <w:rFonts w:ascii="Arial" w:cs="Arial" w:eastAsia="Arial" w:hAnsi="Arial"/>
                <w:sz w:val="14"/>
                <w:szCs w:val="14"/>
                <w:color w:val="auto"/>
              </w:rPr>
              <w:t>Monument Park, South Africa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Systems Technology (Beijing)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Beijing,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Tamworth Ltd.</w:t>
            </w:r>
          </w:p>
        </w:tc>
        <w:tc>
          <w:tcPr>
            <w:tcW w:w="4580" w:type="dxa"/>
            <w:vAlign w:val="bottom"/>
          </w:tcPr>
          <w:p>
            <w:pPr>
              <w:ind w:left="1620"/>
              <w:spacing w:after="0"/>
              <w:rPr>
                <w:sz w:val="20"/>
                <w:szCs w:val="20"/>
                <w:color w:val="auto"/>
              </w:rPr>
            </w:pPr>
            <w:r>
              <w:rPr>
                <w:rFonts w:ascii="Arial" w:cs="Arial" w:eastAsia="Arial" w:hAnsi="Arial"/>
                <w:sz w:val="14"/>
                <w:szCs w:val="14"/>
                <w:color w:val="auto"/>
              </w:rPr>
              <w:t>Tamworth, Staffordshire, UK</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Tours</w:t>
            </w:r>
          </w:p>
        </w:tc>
        <w:tc>
          <w:tcPr>
            <w:tcW w:w="4580" w:type="dxa"/>
            <w:vAlign w:val="bottom"/>
          </w:tcPr>
          <w:p>
            <w:pPr>
              <w:ind w:left="1620"/>
              <w:spacing w:after="0"/>
              <w:rPr>
                <w:sz w:val="20"/>
                <w:szCs w:val="20"/>
                <w:color w:val="auto"/>
              </w:rPr>
            </w:pPr>
            <w:r>
              <w:rPr>
                <w:rFonts w:ascii="Arial" w:cs="Arial" w:eastAsia="Arial" w:hAnsi="Arial"/>
                <w:sz w:val="14"/>
                <w:szCs w:val="14"/>
                <w:color w:val="auto"/>
              </w:rPr>
              <w:t>Saint Pierre des Corps, France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Tremosnice s.r.o.</w:t>
            </w:r>
          </w:p>
        </w:tc>
        <w:tc>
          <w:tcPr>
            <w:tcW w:w="4580" w:type="dxa"/>
            <w:vAlign w:val="bottom"/>
          </w:tcPr>
          <w:p>
            <w:pPr>
              <w:ind w:left="1620"/>
              <w:spacing w:after="0"/>
              <w:rPr>
                <w:sz w:val="20"/>
                <w:szCs w:val="20"/>
                <w:color w:val="auto"/>
              </w:rPr>
            </w:pPr>
            <w:r>
              <w:rPr>
                <w:rFonts w:ascii="Arial" w:cs="Arial" w:eastAsia="Arial" w:hAnsi="Arial"/>
                <w:sz w:val="14"/>
                <w:szCs w:val="14"/>
                <w:color w:val="auto"/>
              </w:rPr>
              <w:t>Treomsnice, Czech Republic</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USA Inc</w:t>
            </w:r>
          </w:p>
        </w:tc>
        <w:tc>
          <w:tcPr>
            <w:tcW w:w="4580" w:type="dxa"/>
            <w:vAlign w:val="bottom"/>
          </w:tcPr>
          <w:p>
            <w:pPr>
              <w:ind w:left="1620"/>
              <w:spacing w:after="0"/>
              <w:rPr>
                <w:sz w:val="20"/>
                <w:szCs w:val="20"/>
                <w:color w:val="auto"/>
              </w:rPr>
            </w:pPr>
            <w:r>
              <w:rPr>
                <w:rFonts w:ascii="Arial" w:cs="Arial" w:eastAsia="Arial" w:hAnsi="Arial"/>
                <w:sz w:val="14"/>
                <w:szCs w:val="14"/>
                <w:color w:val="auto"/>
              </w:rPr>
              <w:t>Greenville, South Carolina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Verwaltungs GmbH</w:t>
            </w:r>
          </w:p>
        </w:tc>
        <w:tc>
          <w:tcPr>
            <w:tcW w:w="4580" w:type="dxa"/>
            <w:vAlign w:val="bottom"/>
          </w:tcPr>
          <w:p>
            <w:pPr>
              <w:ind w:left="1620"/>
              <w:spacing w:after="0"/>
              <w:rPr>
                <w:sz w:val="20"/>
                <w:szCs w:val="20"/>
                <w:color w:val="auto"/>
              </w:rPr>
            </w:pPr>
            <w:r>
              <w:rPr>
                <w:rFonts w:ascii="Arial" w:cs="Arial" w:eastAsia="Arial" w:hAnsi="Arial"/>
                <w:sz w:val="14"/>
                <w:szCs w:val="14"/>
                <w:color w:val="auto"/>
              </w:rPr>
              <w:t>Scheuditz, Germany</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Faiveley Transport Witten GmbH</w:t>
            </w:r>
          </w:p>
        </w:tc>
        <w:tc>
          <w:tcPr>
            <w:tcW w:w="4580" w:type="dxa"/>
            <w:vAlign w:val="bottom"/>
          </w:tcPr>
          <w:p>
            <w:pPr>
              <w:ind w:left="1620"/>
              <w:spacing w:after="0"/>
              <w:rPr>
                <w:sz w:val="20"/>
                <w:szCs w:val="20"/>
                <w:color w:val="auto"/>
              </w:rPr>
            </w:pPr>
            <w:r>
              <w:rPr>
                <w:rFonts w:ascii="Arial" w:cs="Arial" w:eastAsia="Arial" w:hAnsi="Arial"/>
                <w:sz w:val="14"/>
                <w:szCs w:val="14"/>
                <w:color w:val="auto"/>
              </w:rPr>
              <w:t>Witten, Germany</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F.I.P. Pty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Sydney, Australia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FIP Brakes South Africa (Proprietary) Limited</w:t>
            </w:r>
          </w:p>
        </w:tc>
        <w:tc>
          <w:tcPr>
            <w:tcW w:w="4580" w:type="dxa"/>
            <w:vAlign w:val="bottom"/>
          </w:tcPr>
          <w:p>
            <w:pPr>
              <w:ind w:left="1620"/>
              <w:spacing w:after="0"/>
              <w:rPr>
                <w:sz w:val="20"/>
                <w:szCs w:val="20"/>
                <w:color w:val="auto"/>
              </w:rPr>
            </w:pPr>
            <w:r>
              <w:rPr>
                <w:rFonts w:ascii="Arial" w:cs="Arial" w:eastAsia="Arial" w:hAnsi="Arial"/>
                <w:sz w:val="14"/>
                <w:szCs w:val="14"/>
                <w:color w:val="auto"/>
              </w:rPr>
              <w:t>Kempton Park, South Africa</w:t>
            </w:r>
          </w:p>
        </w:tc>
        <w:tc>
          <w:tcPr>
            <w:tcW w:w="160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Fandstan Electric Group, Ltd.</w:t>
            </w:r>
          </w:p>
        </w:tc>
        <w:tc>
          <w:tcPr>
            <w:tcW w:w="4580" w:type="dxa"/>
            <w:vAlign w:val="bottom"/>
          </w:tcPr>
          <w:p>
            <w:pPr>
              <w:ind w:left="1620"/>
              <w:spacing w:after="0"/>
              <w:rPr>
                <w:sz w:val="20"/>
                <w:szCs w:val="20"/>
                <w:color w:val="auto"/>
              </w:rPr>
            </w:pPr>
            <w:r>
              <w:rPr>
                <w:rFonts w:ascii="Arial" w:cs="Arial" w:eastAsia="Arial" w:hAnsi="Arial"/>
                <w:sz w:val="14"/>
                <w:szCs w:val="14"/>
                <w:color w:val="auto"/>
              </w:rPr>
              <w:t>London, UK</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Fandstan Electric Systems Pty, Ltd.</w:t>
            </w:r>
          </w:p>
        </w:tc>
        <w:tc>
          <w:tcPr>
            <w:tcW w:w="4580" w:type="dxa"/>
            <w:vAlign w:val="bottom"/>
          </w:tcPr>
          <w:p>
            <w:pPr>
              <w:ind w:left="1620"/>
              <w:spacing w:after="0"/>
              <w:rPr>
                <w:sz w:val="20"/>
                <w:szCs w:val="20"/>
                <w:color w:val="auto"/>
              </w:rPr>
            </w:pPr>
            <w:r>
              <w:rPr>
                <w:rFonts w:ascii="Arial" w:cs="Arial" w:eastAsia="Arial" w:hAnsi="Arial"/>
                <w:sz w:val="14"/>
                <w:szCs w:val="14"/>
                <w:color w:val="auto"/>
              </w:rPr>
              <w:t>Gujarat, India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Fandstan Electric, Ltd.</w:t>
            </w:r>
          </w:p>
        </w:tc>
        <w:tc>
          <w:tcPr>
            <w:tcW w:w="4580" w:type="dxa"/>
            <w:vAlign w:val="bottom"/>
          </w:tcPr>
          <w:p>
            <w:pPr>
              <w:ind w:left="1620"/>
              <w:spacing w:after="0"/>
              <w:rPr>
                <w:sz w:val="20"/>
                <w:szCs w:val="20"/>
                <w:color w:val="auto"/>
              </w:rPr>
            </w:pPr>
            <w:r>
              <w:rPr>
                <w:rFonts w:ascii="Arial" w:cs="Arial" w:eastAsia="Arial" w:hAnsi="Arial"/>
                <w:sz w:val="14"/>
                <w:szCs w:val="14"/>
                <w:color w:val="auto"/>
              </w:rPr>
              <w:t>London, UK</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F.T.M.T. Singapore Pte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Singapore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FW Acquisition LLC</w:t>
            </w:r>
          </w:p>
        </w:tc>
        <w:tc>
          <w:tcPr>
            <w:tcW w:w="4580" w:type="dxa"/>
            <w:vAlign w:val="bottom"/>
          </w:tcPr>
          <w:p>
            <w:pPr>
              <w:ind w:left="1620"/>
              <w:spacing w:after="0"/>
              <w:rPr>
                <w:sz w:val="20"/>
                <w:szCs w:val="20"/>
                <w:color w:val="auto"/>
              </w:rPr>
            </w:pPr>
            <w:r>
              <w:rPr>
                <w:rFonts w:ascii="Arial" w:cs="Arial" w:eastAsia="Arial" w:hAnsi="Arial"/>
                <w:sz w:val="14"/>
                <w:szCs w:val="14"/>
                <w:color w:val="auto"/>
              </w:rPr>
              <w:t>Wilmington, Delaware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G&amp;B Specialties, Inc.</w:t>
            </w:r>
          </w:p>
        </w:tc>
        <w:tc>
          <w:tcPr>
            <w:tcW w:w="4580" w:type="dxa"/>
            <w:vAlign w:val="bottom"/>
          </w:tcPr>
          <w:p>
            <w:pPr>
              <w:ind w:left="1620"/>
              <w:spacing w:after="0"/>
              <w:rPr>
                <w:sz w:val="20"/>
                <w:szCs w:val="20"/>
                <w:color w:val="auto"/>
              </w:rPr>
            </w:pPr>
            <w:r>
              <w:rPr>
                <w:rFonts w:ascii="Arial" w:cs="Arial" w:eastAsia="Arial" w:hAnsi="Arial"/>
                <w:sz w:val="14"/>
                <w:szCs w:val="14"/>
                <w:color w:val="auto"/>
              </w:rPr>
              <w:t>Berwick, Pennsylvania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Gerken Group S.A.</w:t>
            </w:r>
          </w:p>
        </w:tc>
        <w:tc>
          <w:tcPr>
            <w:tcW w:w="4580" w:type="dxa"/>
            <w:vAlign w:val="bottom"/>
          </w:tcPr>
          <w:p>
            <w:pPr>
              <w:ind w:left="1620"/>
              <w:spacing w:after="0"/>
              <w:rPr>
                <w:sz w:val="20"/>
                <w:szCs w:val="20"/>
                <w:color w:val="auto"/>
              </w:rPr>
            </w:pPr>
            <w:r>
              <w:rPr>
                <w:rFonts w:ascii="Arial" w:cs="Arial" w:eastAsia="Arial" w:hAnsi="Arial"/>
                <w:sz w:val="14"/>
                <w:szCs w:val="14"/>
                <w:color w:val="auto"/>
              </w:rPr>
              <w:t>Belgium</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Gerken Nordiska Karma Aktiebolag</w:t>
            </w:r>
          </w:p>
        </w:tc>
        <w:tc>
          <w:tcPr>
            <w:tcW w:w="4580" w:type="dxa"/>
            <w:vAlign w:val="bottom"/>
          </w:tcPr>
          <w:p>
            <w:pPr>
              <w:ind w:left="1620"/>
              <w:spacing w:after="0"/>
              <w:rPr>
                <w:sz w:val="20"/>
                <w:szCs w:val="20"/>
                <w:color w:val="auto"/>
              </w:rPr>
            </w:pPr>
            <w:r>
              <w:rPr>
                <w:rFonts w:ascii="Arial" w:cs="Arial" w:eastAsia="Arial" w:hAnsi="Arial"/>
                <w:sz w:val="14"/>
                <w:szCs w:val="14"/>
                <w:color w:val="auto"/>
              </w:rPr>
              <w:t>Sweden</w:t>
            </w:r>
          </w:p>
        </w:tc>
        <w:tc>
          <w:tcPr>
            <w:tcW w:w="160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Gerken SAS</w:t>
            </w:r>
          </w:p>
        </w:tc>
        <w:tc>
          <w:tcPr>
            <w:tcW w:w="4580" w:type="dxa"/>
            <w:vAlign w:val="bottom"/>
          </w:tcPr>
          <w:p>
            <w:pPr>
              <w:ind w:left="1620"/>
              <w:spacing w:after="0"/>
              <w:rPr>
                <w:sz w:val="20"/>
                <w:szCs w:val="20"/>
                <w:color w:val="auto"/>
              </w:rPr>
            </w:pPr>
            <w:r>
              <w:rPr>
                <w:rFonts w:ascii="Arial" w:cs="Arial" w:eastAsia="Arial" w:hAnsi="Arial"/>
                <w:sz w:val="14"/>
                <w:szCs w:val="14"/>
                <w:color w:val="auto"/>
              </w:rPr>
              <w:t>France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Diesel Locomotive Private Limited</w:t>
            </w:r>
          </w:p>
        </w:tc>
        <w:tc>
          <w:tcPr>
            <w:tcW w:w="4580" w:type="dxa"/>
            <w:vAlign w:val="bottom"/>
          </w:tcPr>
          <w:p>
            <w:pPr>
              <w:ind w:left="1620"/>
              <w:spacing w:after="0"/>
              <w:rPr>
                <w:sz w:val="20"/>
                <w:szCs w:val="20"/>
                <w:color w:val="auto"/>
              </w:rPr>
            </w:pPr>
            <w:r>
              <w:rPr>
                <w:rFonts w:ascii="Arial" w:cs="Arial" w:eastAsia="Arial" w:hAnsi="Arial"/>
                <w:sz w:val="14"/>
                <w:szCs w:val="14"/>
                <w:color w:val="auto"/>
              </w:rPr>
              <w:t>New Delhi, India</w:t>
            </w:r>
          </w:p>
        </w:tc>
        <w:tc>
          <w:tcPr>
            <w:tcW w:w="160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Economic and Trading (Shanghai)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Shanghai,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General Electric Transportation Egypt Services LLC.</w:t>
            </w:r>
          </w:p>
        </w:tc>
        <w:tc>
          <w:tcPr>
            <w:tcW w:w="4580" w:type="dxa"/>
            <w:vAlign w:val="bottom"/>
          </w:tcPr>
          <w:p>
            <w:pPr>
              <w:ind w:left="1620"/>
              <w:spacing w:after="0"/>
              <w:rPr>
                <w:sz w:val="20"/>
                <w:szCs w:val="20"/>
                <w:color w:val="auto"/>
              </w:rPr>
            </w:pPr>
            <w:r>
              <w:rPr>
                <w:rFonts w:ascii="Arial" w:cs="Arial" w:eastAsia="Arial" w:hAnsi="Arial"/>
                <w:sz w:val="14"/>
                <w:szCs w:val="14"/>
                <w:color w:val="auto"/>
              </w:rPr>
              <w:t>Egypt</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Global Sourcing India Pvt Ltd.</w:t>
            </w:r>
          </w:p>
        </w:tc>
        <w:tc>
          <w:tcPr>
            <w:tcW w:w="4580" w:type="dxa"/>
            <w:vAlign w:val="bottom"/>
          </w:tcPr>
          <w:p>
            <w:pPr>
              <w:ind w:left="1620"/>
              <w:spacing w:after="0"/>
              <w:rPr>
                <w:sz w:val="20"/>
                <w:szCs w:val="20"/>
                <w:color w:val="auto"/>
              </w:rPr>
            </w:pPr>
            <w:r>
              <w:rPr>
                <w:rFonts w:ascii="Arial" w:cs="Arial" w:eastAsia="Arial" w:hAnsi="Arial"/>
                <w:sz w:val="14"/>
                <w:szCs w:val="14"/>
                <w:color w:val="auto"/>
              </w:rPr>
              <w:t>New Delhi, India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Mozambique Limitada</w:t>
            </w:r>
          </w:p>
        </w:tc>
        <w:tc>
          <w:tcPr>
            <w:tcW w:w="4580" w:type="dxa"/>
            <w:vAlign w:val="bottom"/>
          </w:tcPr>
          <w:p>
            <w:pPr>
              <w:ind w:left="1620"/>
              <w:spacing w:after="0"/>
              <w:rPr>
                <w:sz w:val="20"/>
                <w:szCs w:val="20"/>
                <w:color w:val="auto"/>
              </w:rPr>
            </w:pPr>
            <w:r>
              <w:rPr>
                <w:rFonts w:ascii="Arial" w:cs="Arial" w:eastAsia="Arial" w:hAnsi="Arial"/>
                <w:sz w:val="14"/>
                <w:szCs w:val="14"/>
                <w:color w:val="auto"/>
              </w:rPr>
              <w:t>Nacala, Mozambique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(Shijiazhuang) Mining Equipment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Shijiazhuang,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South Africa Technologies (Proprietary) Limited</w:t>
            </w:r>
          </w:p>
        </w:tc>
        <w:tc>
          <w:tcPr>
            <w:tcW w:w="4580" w:type="dxa"/>
            <w:vAlign w:val="bottom"/>
          </w:tcPr>
          <w:p>
            <w:pPr>
              <w:ind w:left="1620"/>
              <w:spacing w:after="0"/>
              <w:rPr>
                <w:sz w:val="20"/>
                <w:szCs w:val="20"/>
                <w:color w:val="auto"/>
              </w:rPr>
            </w:pPr>
            <w:r>
              <w:rPr>
                <w:rFonts w:ascii="Arial" w:cs="Arial" w:eastAsia="Arial" w:hAnsi="Arial"/>
                <w:sz w:val="14"/>
                <w:szCs w:val="14"/>
                <w:color w:val="auto"/>
              </w:rPr>
              <w:t>Johannesburg, South Africa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Transportation, A Wabtec Company</w:t>
            </w:r>
          </w:p>
        </w:tc>
        <w:tc>
          <w:tcPr>
            <w:tcW w:w="4580" w:type="dxa"/>
            <w:vAlign w:val="bottom"/>
          </w:tcPr>
          <w:p>
            <w:pPr>
              <w:ind w:left="1620"/>
              <w:spacing w:after="0"/>
              <w:rPr>
                <w:sz w:val="20"/>
                <w:szCs w:val="20"/>
                <w:color w:val="auto"/>
              </w:rPr>
            </w:pPr>
            <w:r>
              <w:rPr>
                <w:rFonts w:ascii="Arial" w:cs="Arial" w:eastAsia="Arial" w:hAnsi="Arial"/>
                <w:sz w:val="14"/>
                <w:szCs w:val="14"/>
                <w:color w:val="auto"/>
              </w:rPr>
              <w:t>Wilmington, Delaware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Transportation Engines Holding B.V.</w:t>
            </w:r>
          </w:p>
        </w:tc>
        <w:tc>
          <w:tcPr>
            <w:tcW w:w="4580" w:type="dxa"/>
            <w:vAlign w:val="bottom"/>
          </w:tcPr>
          <w:p>
            <w:pPr>
              <w:ind w:left="1620"/>
              <w:spacing w:after="0"/>
              <w:rPr>
                <w:sz w:val="20"/>
                <w:szCs w:val="20"/>
                <w:color w:val="auto"/>
              </w:rPr>
            </w:pPr>
            <w:r>
              <w:rPr>
                <w:rFonts w:ascii="Arial" w:cs="Arial" w:eastAsia="Arial" w:hAnsi="Arial"/>
                <w:sz w:val="14"/>
                <w:szCs w:val="14"/>
                <w:color w:val="auto"/>
              </w:rPr>
              <w:t>Breda, Netherlands</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Transportation Parts, LLC.</w:t>
            </w:r>
          </w:p>
        </w:tc>
        <w:tc>
          <w:tcPr>
            <w:tcW w:w="4580" w:type="dxa"/>
            <w:vAlign w:val="bottom"/>
          </w:tcPr>
          <w:p>
            <w:pPr>
              <w:ind w:left="1620"/>
              <w:spacing w:after="0"/>
              <w:rPr>
                <w:sz w:val="20"/>
                <w:szCs w:val="20"/>
                <w:color w:val="auto"/>
              </w:rPr>
            </w:pPr>
            <w:r>
              <w:rPr>
                <w:rFonts w:ascii="Arial" w:cs="Arial" w:eastAsia="Arial" w:hAnsi="Arial"/>
                <w:sz w:val="14"/>
                <w:szCs w:val="14"/>
                <w:color w:val="auto"/>
              </w:rPr>
              <w:t>Wilmington, Delaware</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Transportation System (Shenyang)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Shenyang,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Transportation Systems (China) Co. Ltd.</w:t>
            </w:r>
          </w:p>
        </w:tc>
        <w:tc>
          <w:tcPr>
            <w:tcW w:w="4580" w:type="dxa"/>
            <w:vAlign w:val="bottom"/>
          </w:tcPr>
          <w:p>
            <w:pPr>
              <w:ind w:left="1620"/>
              <w:spacing w:after="0"/>
              <w:rPr>
                <w:sz w:val="20"/>
                <w:szCs w:val="20"/>
                <w:color w:val="auto"/>
              </w:rPr>
            </w:pPr>
            <w:r>
              <w:rPr>
                <w:rFonts w:ascii="Arial" w:cs="Arial" w:eastAsia="Arial" w:hAnsi="Arial"/>
                <w:sz w:val="14"/>
                <w:szCs w:val="14"/>
                <w:color w:val="auto"/>
              </w:rPr>
              <w:t>Beijing, China</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020" w:type="dxa"/>
            <w:vAlign w:val="bottom"/>
          </w:tcPr>
          <w:p>
            <w:pPr>
              <w:spacing w:after="0"/>
              <w:rPr>
                <w:sz w:val="20"/>
                <w:szCs w:val="20"/>
                <w:color w:val="auto"/>
              </w:rPr>
            </w:pPr>
            <w:r>
              <w:rPr>
                <w:rFonts w:ascii="Arial" w:cs="Arial" w:eastAsia="Arial" w:hAnsi="Arial"/>
                <w:sz w:val="14"/>
                <w:szCs w:val="14"/>
                <w:color w:val="auto"/>
              </w:rPr>
              <w:t>GE Transportation Systems Deutschland GmbH</w:t>
            </w:r>
          </w:p>
        </w:tc>
        <w:tc>
          <w:tcPr>
            <w:tcW w:w="4580" w:type="dxa"/>
            <w:vAlign w:val="bottom"/>
          </w:tcPr>
          <w:p>
            <w:pPr>
              <w:ind w:left="1620"/>
              <w:spacing w:after="0"/>
              <w:rPr>
                <w:sz w:val="20"/>
                <w:szCs w:val="20"/>
                <w:color w:val="auto"/>
              </w:rPr>
            </w:pPr>
            <w:r>
              <w:rPr>
                <w:rFonts w:ascii="Arial" w:cs="Arial" w:eastAsia="Arial" w:hAnsi="Arial"/>
                <w:sz w:val="14"/>
                <w:szCs w:val="14"/>
                <w:color w:val="auto"/>
              </w:rPr>
              <w:t>Frankfurt am Main, Germany</w:t>
            </w:r>
          </w:p>
        </w:tc>
        <w:tc>
          <w:tcPr>
            <w:tcW w:w="160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00"/>
          </w:cols>
          <w:pgMar w:left="340" w:top="1440" w:right="359" w:bottom="1440" w:gutter="0" w:footer="0" w:header="0"/>
        </w:sectPr>
      </w:pPr>
    </w:p>
    <w:bookmarkStart w:id="105" w:name="page106"/>
    <w:bookmarkEnd w:id="10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20"/>
                <w:szCs w:val="20"/>
                <w:color w:val="auto"/>
              </w:rPr>
            </w:pPr>
            <w:r>
              <w:rPr>
                <w:rFonts w:ascii="Arial" w:cs="Arial" w:eastAsia="Arial" w:hAnsi="Arial"/>
                <w:sz w:val="14"/>
                <w:szCs w:val="14"/>
                <w:color w:val="auto"/>
              </w:rPr>
              <w:t>GE Transportation Systems Ltd.</w:t>
            </w:r>
          </w:p>
        </w:tc>
        <w:tc>
          <w:tcPr>
            <w:tcW w:w="4240" w:type="dxa"/>
            <w:vAlign w:val="bottom"/>
          </w:tcPr>
          <w:p>
            <w:pPr>
              <w:ind w:left="1160"/>
              <w:spacing w:after="0"/>
              <w:rPr>
                <w:sz w:val="20"/>
                <w:szCs w:val="20"/>
                <w:color w:val="auto"/>
              </w:rPr>
            </w:pPr>
            <w:r>
              <w:rPr>
                <w:rFonts w:ascii="Arial" w:cs="Arial" w:eastAsia="Arial" w:hAnsi="Arial"/>
                <w:sz w:val="14"/>
                <w:szCs w:val="14"/>
                <w:color w:val="auto"/>
              </w:rPr>
              <w:t>Altrincham, England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GE-UGM, LLC.</w:t>
            </w:r>
          </w:p>
        </w:tc>
        <w:tc>
          <w:tcPr>
            <w:tcW w:w="4240" w:type="dxa"/>
            <w:vAlign w:val="bottom"/>
          </w:tcPr>
          <w:p>
            <w:pPr>
              <w:ind w:left="1160"/>
              <w:spacing w:after="0"/>
              <w:rPr>
                <w:sz w:val="20"/>
                <w:szCs w:val="20"/>
                <w:color w:val="auto"/>
              </w:rPr>
            </w:pPr>
            <w:r>
              <w:rPr>
                <w:rFonts w:ascii="Arial" w:cs="Arial" w:eastAsia="Arial" w:hAnsi="Arial"/>
                <w:sz w:val="14"/>
                <w:szCs w:val="14"/>
                <w:color w:val="auto"/>
              </w:rPr>
              <w:t>Wilmington, Delaware</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GIMCO, SA de CV</w:t>
            </w:r>
          </w:p>
        </w:tc>
        <w:tc>
          <w:tcPr>
            <w:tcW w:w="4240" w:type="dxa"/>
            <w:vAlign w:val="bottom"/>
          </w:tcPr>
          <w:p>
            <w:pPr>
              <w:ind w:left="1160"/>
              <w:spacing w:after="0"/>
              <w:rPr>
                <w:sz w:val="20"/>
                <w:szCs w:val="20"/>
                <w:color w:val="auto"/>
              </w:rPr>
            </w:pPr>
            <w:r>
              <w:rPr>
                <w:rFonts w:ascii="Arial" w:cs="Arial" w:eastAsia="Arial" w:hAnsi="Arial"/>
                <w:sz w:val="14"/>
                <w:szCs w:val="14"/>
                <w:color w:val="auto"/>
              </w:rPr>
              <w:t>Torreon, Mexico</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Global Acquisition, S.a r.l.</w:t>
            </w:r>
          </w:p>
        </w:tc>
        <w:tc>
          <w:tcPr>
            <w:tcW w:w="4240" w:type="dxa"/>
            <w:vAlign w:val="bottom"/>
          </w:tcPr>
          <w:p>
            <w:pPr>
              <w:ind w:left="1160"/>
              <w:spacing w:after="0"/>
              <w:rPr>
                <w:sz w:val="20"/>
                <w:szCs w:val="20"/>
                <w:color w:val="auto"/>
              </w:rPr>
            </w:pPr>
            <w:r>
              <w:rPr>
                <w:rFonts w:ascii="Arial" w:cs="Arial" w:eastAsia="Arial" w:hAnsi="Arial"/>
                <w:sz w:val="14"/>
                <w:szCs w:val="14"/>
                <w:color w:val="auto"/>
              </w:rPr>
              <w:t>Luxembourg</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Graham White Manufacturing Company</w:t>
            </w:r>
          </w:p>
        </w:tc>
        <w:tc>
          <w:tcPr>
            <w:tcW w:w="4240" w:type="dxa"/>
            <w:vAlign w:val="bottom"/>
          </w:tcPr>
          <w:p>
            <w:pPr>
              <w:ind w:left="1160"/>
              <w:spacing w:after="0"/>
              <w:rPr>
                <w:sz w:val="20"/>
                <w:szCs w:val="20"/>
                <w:color w:val="auto"/>
              </w:rPr>
            </w:pPr>
            <w:r>
              <w:rPr>
                <w:rFonts w:ascii="Arial" w:cs="Arial" w:eastAsia="Arial" w:hAnsi="Arial"/>
                <w:sz w:val="14"/>
                <w:szCs w:val="14"/>
                <w:color w:val="auto"/>
              </w:rPr>
              <w:t>Salem, Virginia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Huatie Wabtec Faiveley (Qingdao) Transport Equipment Co., Ltd.</w:t>
            </w:r>
          </w:p>
        </w:tc>
        <w:tc>
          <w:tcPr>
            <w:tcW w:w="4240" w:type="dxa"/>
            <w:vAlign w:val="bottom"/>
          </w:tcPr>
          <w:p>
            <w:pPr>
              <w:ind w:left="1160"/>
              <w:spacing w:after="0"/>
              <w:rPr>
                <w:sz w:val="20"/>
                <w:szCs w:val="20"/>
                <w:color w:val="auto"/>
              </w:rPr>
            </w:pPr>
            <w:r>
              <w:rPr>
                <w:rFonts w:ascii="Arial" w:cs="Arial" w:eastAsia="Arial" w:hAnsi="Arial"/>
                <w:sz w:val="14"/>
                <w:szCs w:val="14"/>
                <w:color w:val="auto"/>
              </w:rPr>
              <w:t>Beijing,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Hubei Dengfeng Unifin Electrical Equipment Cooling System Co., Ltd.</w:t>
            </w:r>
          </w:p>
        </w:tc>
        <w:tc>
          <w:tcPr>
            <w:tcW w:w="4240" w:type="dxa"/>
            <w:vAlign w:val="bottom"/>
          </w:tcPr>
          <w:p>
            <w:pPr>
              <w:ind w:left="1160"/>
              <w:spacing w:after="0"/>
              <w:rPr>
                <w:sz w:val="20"/>
                <w:szCs w:val="20"/>
                <w:color w:val="auto"/>
              </w:rPr>
            </w:pPr>
            <w:r>
              <w:rPr>
                <w:rFonts w:ascii="Arial" w:cs="Arial" w:eastAsia="Arial" w:hAnsi="Arial"/>
                <w:sz w:val="14"/>
                <w:szCs w:val="14"/>
                <w:color w:val="auto"/>
              </w:rPr>
              <w:t>Daye City, Hubei,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69 %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Hunan CRRC Wabtec Railway Transportation Technology Co., Ltd.</w:t>
            </w:r>
          </w:p>
        </w:tc>
        <w:tc>
          <w:tcPr>
            <w:tcW w:w="4240" w:type="dxa"/>
            <w:vAlign w:val="bottom"/>
          </w:tcPr>
          <w:p>
            <w:pPr>
              <w:ind w:left="1160"/>
              <w:spacing w:after="0"/>
              <w:rPr>
                <w:sz w:val="20"/>
                <w:szCs w:val="20"/>
                <w:color w:val="auto"/>
              </w:rPr>
            </w:pPr>
            <w:r>
              <w:rPr>
                <w:rFonts w:ascii="Arial" w:cs="Arial" w:eastAsia="Arial" w:hAnsi="Arial"/>
                <w:sz w:val="14"/>
                <w:szCs w:val="14"/>
                <w:color w:val="auto"/>
              </w:rPr>
              <w:t>Changsha, Hunan,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Chile S.A.</w:t>
            </w:r>
          </w:p>
        </w:tc>
        <w:tc>
          <w:tcPr>
            <w:tcW w:w="4240" w:type="dxa"/>
            <w:vAlign w:val="bottom"/>
          </w:tcPr>
          <w:p>
            <w:pPr>
              <w:ind w:left="1160"/>
              <w:spacing w:after="0"/>
              <w:rPr>
                <w:sz w:val="20"/>
                <w:szCs w:val="20"/>
                <w:color w:val="auto"/>
              </w:rPr>
            </w:pPr>
            <w:r>
              <w:rPr>
                <w:rFonts w:ascii="Arial" w:cs="Arial" w:eastAsia="Arial" w:hAnsi="Arial"/>
                <w:sz w:val="14"/>
                <w:szCs w:val="14"/>
                <w:color w:val="auto"/>
              </w:rPr>
              <w:t>Chile</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Hong Kong YL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Hong Kong,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Mining Equipment Pty Ltd.</w:t>
            </w:r>
          </w:p>
        </w:tc>
        <w:tc>
          <w:tcPr>
            <w:tcW w:w="4240" w:type="dxa"/>
            <w:vAlign w:val="bottom"/>
          </w:tcPr>
          <w:p>
            <w:pPr>
              <w:ind w:left="1160"/>
              <w:spacing w:after="0"/>
              <w:rPr>
                <w:sz w:val="20"/>
                <w:szCs w:val="20"/>
                <w:color w:val="auto"/>
              </w:rPr>
            </w:pPr>
            <w:r>
              <w:rPr>
                <w:rFonts w:ascii="Arial" w:cs="Arial" w:eastAsia="Arial" w:hAnsi="Arial"/>
                <w:sz w:val="14"/>
                <w:szCs w:val="14"/>
                <w:color w:val="auto"/>
              </w:rPr>
              <w:t>Springfield Central, Australia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Mining Technology Pty Ltd.</w:t>
            </w:r>
          </w:p>
        </w:tc>
        <w:tc>
          <w:tcPr>
            <w:tcW w:w="4240" w:type="dxa"/>
            <w:vAlign w:val="bottom"/>
          </w:tcPr>
          <w:p>
            <w:pPr>
              <w:ind w:left="1160"/>
              <w:spacing w:after="0"/>
              <w:rPr>
                <w:sz w:val="20"/>
                <w:szCs w:val="20"/>
                <w:color w:val="auto"/>
              </w:rPr>
            </w:pPr>
            <w:r>
              <w:rPr>
                <w:rFonts w:ascii="Arial" w:cs="Arial" w:eastAsia="Arial" w:hAnsi="Arial"/>
                <w:sz w:val="14"/>
                <w:szCs w:val="14"/>
                <w:color w:val="auto"/>
              </w:rPr>
              <w:t>Fountaindale, Australia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Pty Ltd</w:t>
            </w:r>
          </w:p>
        </w:tc>
        <w:tc>
          <w:tcPr>
            <w:tcW w:w="4240" w:type="dxa"/>
            <w:vAlign w:val="bottom"/>
          </w:tcPr>
          <w:p>
            <w:pPr>
              <w:ind w:left="1160"/>
              <w:spacing w:after="0"/>
              <w:rPr>
                <w:sz w:val="20"/>
                <w:szCs w:val="20"/>
                <w:color w:val="auto"/>
              </w:rPr>
            </w:pPr>
            <w:r>
              <w:rPr>
                <w:rFonts w:ascii="Arial" w:cs="Arial" w:eastAsia="Arial" w:hAnsi="Arial"/>
                <w:sz w:val="14"/>
                <w:szCs w:val="14"/>
                <w:color w:val="auto"/>
              </w:rPr>
              <w:t>North Sydney, Australia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Wadam (Beijing) Mining Equipment Technical Services Co., Ltd</w:t>
            </w:r>
          </w:p>
        </w:tc>
        <w:tc>
          <w:tcPr>
            <w:tcW w:w="4240" w:type="dxa"/>
            <w:vAlign w:val="bottom"/>
          </w:tcPr>
          <w:p>
            <w:pPr>
              <w:ind w:left="1160"/>
              <w:spacing w:after="0"/>
              <w:rPr>
                <w:sz w:val="20"/>
                <w:szCs w:val="20"/>
                <w:color w:val="auto"/>
              </w:rPr>
            </w:pPr>
            <w:r>
              <w:rPr>
                <w:rFonts w:ascii="Arial" w:cs="Arial" w:eastAsia="Arial" w:hAnsi="Arial"/>
                <w:sz w:val="14"/>
                <w:szCs w:val="14"/>
                <w:color w:val="auto"/>
              </w:rPr>
              <w:t>Beijing,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Industrea Wadam Pty Ltd.</w:t>
            </w:r>
          </w:p>
        </w:tc>
        <w:tc>
          <w:tcPr>
            <w:tcW w:w="4240" w:type="dxa"/>
            <w:vAlign w:val="bottom"/>
          </w:tcPr>
          <w:p>
            <w:pPr>
              <w:ind w:left="1160"/>
              <w:spacing w:after="0"/>
              <w:rPr>
                <w:sz w:val="20"/>
                <w:szCs w:val="20"/>
                <w:color w:val="auto"/>
              </w:rPr>
            </w:pPr>
            <w:r>
              <w:rPr>
                <w:rFonts w:ascii="Arial" w:cs="Arial" w:eastAsia="Arial" w:hAnsi="Arial"/>
                <w:sz w:val="14"/>
                <w:szCs w:val="14"/>
                <w:color w:val="auto"/>
              </w:rPr>
              <w:t>Burnley, Australia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InTrans Engineering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Kolkata, West Bengal, India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Jiaxiang HK Smart Technology Co. Ltd.</w:t>
            </w:r>
          </w:p>
        </w:tc>
        <w:tc>
          <w:tcPr>
            <w:tcW w:w="4240" w:type="dxa"/>
            <w:vAlign w:val="bottom"/>
          </w:tcPr>
          <w:p>
            <w:pPr>
              <w:ind w:left="1160"/>
              <w:spacing w:after="0"/>
              <w:rPr>
                <w:sz w:val="20"/>
                <w:szCs w:val="20"/>
                <w:color w:val="auto"/>
              </w:rPr>
            </w:pPr>
            <w:r>
              <w:rPr>
                <w:rFonts w:ascii="Arial" w:cs="Arial" w:eastAsia="Arial" w:hAnsi="Arial"/>
                <w:sz w:val="14"/>
                <w:szCs w:val="14"/>
                <w:color w:val="auto"/>
              </w:rPr>
              <w:t>Hong Kong,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JSC Lokomotiv Kurastyru Zauyty</w:t>
            </w:r>
          </w:p>
        </w:tc>
        <w:tc>
          <w:tcPr>
            <w:tcW w:w="4240" w:type="dxa"/>
            <w:vAlign w:val="bottom"/>
          </w:tcPr>
          <w:p>
            <w:pPr>
              <w:ind w:left="1160"/>
              <w:spacing w:after="0"/>
              <w:rPr>
                <w:sz w:val="20"/>
                <w:szCs w:val="20"/>
                <w:color w:val="auto"/>
              </w:rPr>
            </w:pPr>
            <w:r>
              <w:rPr>
                <w:rFonts w:ascii="Arial" w:cs="Arial" w:eastAsia="Arial" w:hAnsi="Arial"/>
                <w:sz w:val="14"/>
                <w:szCs w:val="14"/>
                <w:color w:val="auto"/>
              </w:rPr>
              <w:t>Kazakhstan</w:t>
            </w:r>
          </w:p>
        </w:tc>
        <w:tc>
          <w:tcPr>
            <w:tcW w:w="14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Keelex 351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Barton Under Needwood, England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Komatsu Wabtec Mining Systems, LLC.</w:t>
            </w:r>
          </w:p>
        </w:tc>
        <w:tc>
          <w:tcPr>
            <w:tcW w:w="4240" w:type="dxa"/>
            <w:vAlign w:val="bottom"/>
          </w:tcPr>
          <w:p>
            <w:pPr>
              <w:ind w:left="1160"/>
              <w:spacing w:after="0"/>
              <w:rPr>
                <w:sz w:val="20"/>
                <w:szCs w:val="20"/>
                <w:color w:val="auto"/>
              </w:rPr>
            </w:pPr>
            <w:r>
              <w:rPr>
                <w:rFonts w:ascii="Arial" w:cs="Arial" w:eastAsia="Arial" w:hAnsi="Arial"/>
                <w:sz w:val="14"/>
                <w:szCs w:val="14"/>
                <w:color w:val="auto"/>
              </w:rPr>
              <w:t>Wilmington, Delaware</w:t>
            </w:r>
          </w:p>
        </w:tc>
        <w:tc>
          <w:tcPr>
            <w:tcW w:w="14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LH Access Technology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Barton Under Needwood, England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LH Group Services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Barton Under Needwood, England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LH Group Wheelsets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Barton Under Needwood, England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Limited Liability Company Transportation Ukraine</w:t>
            </w:r>
          </w:p>
        </w:tc>
        <w:tc>
          <w:tcPr>
            <w:tcW w:w="4240" w:type="dxa"/>
            <w:vAlign w:val="bottom"/>
          </w:tcPr>
          <w:p>
            <w:pPr>
              <w:ind w:left="1160"/>
              <w:spacing w:after="0"/>
              <w:rPr>
                <w:sz w:val="20"/>
                <w:szCs w:val="20"/>
                <w:color w:val="auto"/>
              </w:rPr>
            </w:pPr>
            <w:r>
              <w:rPr>
                <w:rFonts w:ascii="Arial" w:cs="Arial" w:eastAsia="Arial" w:hAnsi="Arial"/>
                <w:sz w:val="14"/>
                <w:szCs w:val="14"/>
                <w:color w:val="auto"/>
              </w:rPr>
              <w:t>Ukraine</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Locomotive Manufacturing and Services, S.A. de C.V.</w:t>
            </w:r>
          </w:p>
        </w:tc>
        <w:tc>
          <w:tcPr>
            <w:tcW w:w="4240" w:type="dxa"/>
            <w:vAlign w:val="bottom"/>
          </w:tcPr>
          <w:p>
            <w:pPr>
              <w:ind w:left="1160"/>
              <w:spacing w:after="0"/>
              <w:rPr>
                <w:sz w:val="20"/>
                <w:szCs w:val="20"/>
                <w:color w:val="auto"/>
              </w:rPr>
            </w:pPr>
            <w:r>
              <w:rPr>
                <w:rFonts w:ascii="Arial" w:cs="Arial" w:eastAsia="Arial" w:hAnsi="Arial"/>
                <w:sz w:val="14"/>
                <w:szCs w:val="14"/>
                <w:color w:val="auto"/>
              </w:rPr>
              <w:t>Mexico City, Mexico</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Longwood Elastomers, Inc.</w:t>
            </w:r>
          </w:p>
        </w:tc>
        <w:tc>
          <w:tcPr>
            <w:tcW w:w="4240" w:type="dxa"/>
            <w:vAlign w:val="bottom"/>
          </w:tcPr>
          <w:p>
            <w:pPr>
              <w:ind w:left="1160"/>
              <w:spacing w:after="0"/>
              <w:rPr>
                <w:sz w:val="20"/>
                <w:szCs w:val="20"/>
                <w:color w:val="auto"/>
              </w:rPr>
            </w:pPr>
            <w:r>
              <w:rPr>
                <w:rFonts w:ascii="Arial" w:cs="Arial" w:eastAsia="Arial" w:hAnsi="Arial"/>
                <w:sz w:val="14"/>
                <w:szCs w:val="14"/>
                <w:color w:val="auto"/>
              </w:rPr>
              <w:t>Wytheville, Virginia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Longwood Elastomers, S.A.</w:t>
            </w:r>
          </w:p>
        </w:tc>
        <w:tc>
          <w:tcPr>
            <w:tcW w:w="4240" w:type="dxa"/>
            <w:vAlign w:val="bottom"/>
          </w:tcPr>
          <w:p>
            <w:pPr>
              <w:ind w:left="1160"/>
              <w:spacing w:after="0"/>
              <w:rPr>
                <w:sz w:val="20"/>
                <w:szCs w:val="20"/>
                <w:color w:val="auto"/>
              </w:rPr>
            </w:pPr>
            <w:r>
              <w:rPr>
                <w:rFonts w:ascii="Arial" w:cs="Arial" w:eastAsia="Arial" w:hAnsi="Arial"/>
                <w:sz w:val="14"/>
                <w:szCs w:val="14"/>
                <w:color w:val="auto"/>
              </w:rPr>
              <w:t>Soria, Spain</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Longwood Engineered Products, Inc.</w:t>
            </w:r>
          </w:p>
        </w:tc>
        <w:tc>
          <w:tcPr>
            <w:tcW w:w="4240" w:type="dxa"/>
            <w:vAlign w:val="bottom"/>
          </w:tcPr>
          <w:p>
            <w:pPr>
              <w:ind w:left="1160"/>
              <w:spacing w:after="0"/>
              <w:rPr>
                <w:sz w:val="20"/>
                <w:szCs w:val="20"/>
                <w:color w:val="auto"/>
              </w:rPr>
            </w:pPr>
            <w:r>
              <w:rPr>
                <w:rFonts w:ascii="Arial" w:cs="Arial" w:eastAsia="Arial" w:hAnsi="Arial"/>
                <w:sz w:val="14"/>
                <w:szCs w:val="14"/>
                <w:color w:val="auto"/>
              </w:rPr>
              <w:t>Greensboro, North Carolina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Longwood Industries, Inc.</w:t>
            </w:r>
          </w:p>
        </w:tc>
        <w:tc>
          <w:tcPr>
            <w:tcW w:w="4240" w:type="dxa"/>
            <w:vAlign w:val="bottom"/>
          </w:tcPr>
          <w:p>
            <w:pPr>
              <w:ind w:left="1160"/>
              <w:spacing w:after="0"/>
              <w:rPr>
                <w:sz w:val="20"/>
                <w:szCs w:val="20"/>
                <w:color w:val="auto"/>
              </w:rPr>
            </w:pPr>
            <w:r>
              <w:rPr>
                <w:rFonts w:ascii="Arial" w:cs="Arial" w:eastAsia="Arial" w:hAnsi="Arial"/>
                <w:sz w:val="14"/>
                <w:szCs w:val="14"/>
                <w:color w:val="auto"/>
              </w:rPr>
              <w:t>Brenham, Texas</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Longwood International, Inc.</w:t>
            </w:r>
          </w:p>
        </w:tc>
        <w:tc>
          <w:tcPr>
            <w:tcW w:w="4240" w:type="dxa"/>
            <w:vAlign w:val="bottom"/>
          </w:tcPr>
          <w:p>
            <w:pPr>
              <w:ind w:left="1160"/>
              <w:spacing w:after="0"/>
              <w:rPr>
                <w:sz w:val="20"/>
                <w:szCs w:val="20"/>
                <w:color w:val="auto"/>
              </w:rPr>
            </w:pPr>
            <w:r>
              <w:rPr>
                <w:rFonts w:ascii="Arial" w:cs="Arial" w:eastAsia="Arial" w:hAnsi="Arial"/>
                <w:sz w:val="14"/>
                <w:szCs w:val="14"/>
                <w:color w:val="auto"/>
              </w:rPr>
              <w:t>Greensboro, North Carolina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LS&amp;O Locomotoras MX, S. de R.L. de C.V.</w:t>
            </w:r>
          </w:p>
        </w:tc>
        <w:tc>
          <w:tcPr>
            <w:tcW w:w="4240" w:type="dxa"/>
            <w:vAlign w:val="bottom"/>
          </w:tcPr>
          <w:p>
            <w:pPr>
              <w:ind w:left="1160"/>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LWI Elastomers International, S.L.</w:t>
            </w:r>
          </w:p>
        </w:tc>
        <w:tc>
          <w:tcPr>
            <w:tcW w:w="4240" w:type="dxa"/>
            <w:vAlign w:val="bottom"/>
          </w:tcPr>
          <w:p>
            <w:pPr>
              <w:ind w:left="1160"/>
              <w:spacing w:after="0"/>
              <w:rPr>
                <w:sz w:val="20"/>
                <w:szCs w:val="20"/>
                <w:color w:val="auto"/>
              </w:rPr>
            </w:pPr>
            <w:r>
              <w:rPr>
                <w:rFonts w:ascii="Arial" w:cs="Arial" w:eastAsia="Arial" w:hAnsi="Arial"/>
                <w:sz w:val="14"/>
                <w:szCs w:val="14"/>
                <w:color w:val="auto"/>
              </w:rPr>
              <w:t>Madrid, Spain</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LWI International B.V.</w:t>
            </w:r>
          </w:p>
        </w:tc>
        <w:tc>
          <w:tcPr>
            <w:tcW w:w="4240" w:type="dxa"/>
            <w:vAlign w:val="bottom"/>
          </w:tcPr>
          <w:p>
            <w:pPr>
              <w:ind w:left="1160"/>
              <w:spacing w:after="0"/>
              <w:rPr>
                <w:sz w:val="20"/>
                <w:szCs w:val="20"/>
                <w:color w:val="auto"/>
              </w:rPr>
            </w:pPr>
            <w:r>
              <w:rPr>
                <w:rFonts w:ascii="Arial" w:cs="Arial" w:eastAsia="Arial" w:hAnsi="Arial"/>
                <w:sz w:val="14"/>
                <w:szCs w:val="14"/>
                <w:color w:val="auto"/>
              </w:rPr>
              <w:t>Amsterdam, Netherlands</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Manufacturas Del Noreste S.A. de C.V.</w:t>
            </w:r>
          </w:p>
        </w:tc>
        <w:tc>
          <w:tcPr>
            <w:tcW w:w="4240" w:type="dxa"/>
            <w:vAlign w:val="bottom"/>
          </w:tcPr>
          <w:p>
            <w:pPr>
              <w:ind w:left="1160"/>
              <w:spacing w:after="0"/>
              <w:rPr>
                <w:sz w:val="20"/>
                <w:szCs w:val="20"/>
                <w:color w:val="auto"/>
              </w:rPr>
            </w:pPr>
            <w:r>
              <w:rPr>
                <w:rFonts w:ascii="Arial" w:cs="Arial" w:eastAsia="Arial" w:hAnsi="Arial"/>
                <w:sz w:val="14"/>
                <w:szCs w:val="14"/>
                <w:color w:val="auto"/>
              </w:rPr>
              <w:t>Portillo Saltillo, Mexico</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Medagao (Suzhou) Rubber-Metal Components Co., Ltd.</w:t>
            </w:r>
          </w:p>
        </w:tc>
        <w:tc>
          <w:tcPr>
            <w:tcW w:w="4240" w:type="dxa"/>
            <w:vAlign w:val="bottom"/>
          </w:tcPr>
          <w:p>
            <w:pPr>
              <w:ind w:left="1160"/>
              <w:spacing w:after="0"/>
              <w:rPr>
                <w:sz w:val="20"/>
                <w:szCs w:val="20"/>
                <w:color w:val="auto"/>
              </w:rPr>
            </w:pPr>
            <w:r>
              <w:rPr>
                <w:rFonts w:ascii="Arial" w:cs="Arial" w:eastAsia="Arial" w:hAnsi="Arial"/>
                <w:sz w:val="14"/>
                <w:szCs w:val="14"/>
                <w:color w:val="auto"/>
              </w:rPr>
              <w:t>Suzhou, Jiangsu,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Melett (Changzhou) Precision Machinery Co.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Jiangsu, China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Melett Limited</w:t>
            </w:r>
          </w:p>
        </w:tc>
        <w:tc>
          <w:tcPr>
            <w:tcW w:w="4240" w:type="dxa"/>
            <w:vAlign w:val="bottom"/>
          </w:tcPr>
          <w:p>
            <w:pPr>
              <w:ind w:left="1160"/>
              <w:spacing w:after="0"/>
              <w:rPr>
                <w:sz w:val="20"/>
                <w:szCs w:val="20"/>
                <w:color w:val="auto"/>
              </w:rPr>
            </w:pPr>
            <w:r>
              <w:rPr>
                <w:rFonts w:ascii="Arial" w:cs="Arial" w:eastAsia="Arial" w:hAnsi="Arial"/>
                <w:sz w:val="14"/>
                <w:szCs w:val="14"/>
                <w:color w:val="auto"/>
              </w:rPr>
              <w:t>South Yorkshire, England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Melett North America, Inc.</w:t>
            </w:r>
          </w:p>
        </w:tc>
        <w:tc>
          <w:tcPr>
            <w:tcW w:w="4240" w:type="dxa"/>
            <w:vAlign w:val="bottom"/>
          </w:tcPr>
          <w:p>
            <w:pPr>
              <w:ind w:left="1160"/>
              <w:spacing w:after="0"/>
              <w:rPr>
                <w:sz w:val="20"/>
                <w:szCs w:val="20"/>
                <w:color w:val="auto"/>
              </w:rPr>
            </w:pPr>
            <w:r>
              <w:rPr>
                <w:rFonts w:ascii="Arial" w:cs="Arial" w:eastAsia="Arial" w:hAnsi="Arial"/>
                <w:sz w:val="14"/>
                <w:szCs w:val="14"/>
                <w:color w:val="auto"/>
              </w:rPr>
              <w:t>Memphis, Tennessee</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Melett Polska Spolka z Ograniczona odpowiedzialnoscia</w:t>
            </w:r>
          </w:p>
        </w:tc>
        <w:tc>
          <w:tcPr>
            <w:tcW w:w="4240" w:type="dxa"/>
            <w:vAlign w:val="bottom"/>
          </w:tcPr>
          <w:p>
            <w:pPr>
              <w:ind w:left="1160"/>
              <w:spacing w:after="0"/>
              <w:rPr>
                <w:sz w:val="20"/>
                <w:szCs w:val="20"/>
                <w:color w:val="auto"/>
              </w:rPr>
            </w:pPr>
            <w:r>
              <w:rPr>
                <w:rFonts w:ascii="Arial" w:cs="Arial" w:eastAsia="Arial" w:hAnsi="Arial"/>
                <w:sz w:val="14"/>
                <w:szCs w:val="14"/>
                <w:color w:val="auto"/>
              </w:rPr>
              <w:t>Bydgos, Poland</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Merz Industrietechnik GmbH</w:t>
            </w:r>
          </w:p>
        </w:tc>
        <w:tc>
          <w:tcPr>
            <w:tcW w:w="4240" w:type="dxa"/>
            <w:vAlign w:val="bottom"/>
          </w:tcPr>
          <w:p>
            <w:pPr>
              <w:ind w:left="1160"/>
              <w:spacing w:after="0"/>
              <w:rPr>
                <w:sz w:val="20"/>
                <w:szCs w:val="20"/>
                <w:color w:val="auto"/>
              </w:rPr>
            </w:pPr>
            <w:r>
              <w:rPr>
                <w:rFonts w:ascii="Arial" w:cs="Arial" w:eastAsia="Arial" w:hAnsi="Arial"/>
                <w:sz w:val="14"/>
                <w:szCs w:val="14"/>
                <w:color w:val="auto"/>
              </w:rPr>
              <w:t>Österreich, Austria</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Metalocaucho, S.L.</w:t>
            </w:r>
          </w:p>
        </w:tc>
        <w:tc>
          <w:tcPr>
            <w:tcW w:w="4240" w:type="dxa"/>
            <w:vAlign w:val="bottom"/>
          </w:tcPr>
          <w:p>
            <w:pPr>
              <w:ind w:left="1160"/>
              <w:spacing w:after="0"/>
              <w:rPr>
                <w:sz w:val="20"/>
                <w:szCs w:val="20"/>
                <w:color w:val="auto"/>
              </w:rPr>
            </w:pPr>
            <w:r>
              <w:rPr>
                <w:rFonts w:ascii="Arial" w:cs="Arial" w:eastAsia="Arial" w:hAnsi="Arial"/>
                <w:sz w:val="14"/>
                <w:szCs w:val="14"/>
                <w:color w:val="auto"/>
              </w:rPr>
              <w:t>Urnieta, Gipuzkoa, Spain</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Mors Smitt France S.A.S.</w:t>
            </w:r>
          </w:p>
        </w:tc>
        <w:tc>
          <w:tcPr>
            <w:tcW w:w="4240" w:type="dxa"/>
            <w:vAlign w:val="bottom"/>
          </w:tcPr>
          <w:p>
            <w:pPr>
              <w:ind w:left="1160"/>
              <w:spacing w:after="0"/>
              <w:rPr>
                <w:sz w:val="20"/>
                <w:szCs w:val="20"/>
                <w:color w:val="auto"/>
              </w:rPr>
            </w:pPr>
            <w:r>
              <w:rPr>
                <w:rFonts w:ascii="Arial" w:cs="Arial" w:eastAsia="Arial" w:hAnsi="Arial"/>
                <w:sz w:val="14"/>
                <w:szCs w:val="14"/>
                <w:color w:val="auto"/>
              </w:rPr>
              <w:t>Sable sur Sarthe, France</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Mors Smitt Holding S.A.S.</w:t>
            </w:r>
          </w:p>
        </w:tc>
        <w:tc>
          <w:tcPr>
            <w:tcW w:w="4240" w:type="dxa"/>
            <w:vAlign w:val="bottom"/>
          </w:tcPr>
          <w:p>
            <w:pPr>
              <w:ind w:left="1160"/>
              <w:spacing w:after="0"/>
              <w:rPr>
                <w:sz w:val="20"/>
                <w:szCs w:val="20"/>
                <w:color w:val="auto"/>
              </w:rPr>
            </w:pPr>
            <w:r>
              <w:rPr>
                <w:rFonts w:ascii="Arial" w:cs="Arial" w:eastAsia="Arial" w:hAnsi="Arial"/>
                <w:sz w:val="14"/>
                <w:szCs w:val="14"/>
                <w:color w:val="auto"/>
              </w:rPr>
              <w:t>Utrecht, Netherlands</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Mors Smitt Technologies, Inc.</w:t>
            </w:r>
          </w:p>
        </w:tc>
        <w:tc>
          <w:tcPr>
            <w:tcW w:w="4240" w:type="dxa"/>
            <w:vAlign w:val="bottom"/>
          </w:tcPr>
          <w:p>
            <w:pPr>
              <w:ind w:left="1160"/>
              <w:spacing w:after="0"/>
              <w:rPr>
                <w:sz w:val="20"/>
                <w:szCs w:val="20"/>
                <w:color w:val="auto"/>
              </w:rPr>
            </w:pPr>
            <w:r>
              <w:rPr>
                <w:rFonts w:ascii="Arial" w:cs="Arial" w:eastAsia="Arial" w:hAnsi="Arial"/>
                <w:sz w:val="14"/>
                <w:szCs w:val="14"/>
                <w:color w:val="auto"/>
              </w:rPr>
              <w:t>Buffalo Grove, Illinois</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Mors Smitt UK Ltd.</w:t>
            </w:r>
          </w:p>
        </w:tc>
        <w:tc>
          <w:tcPr>
            <w:tcW w:w="4240" w:type="dxa"/>
            <w:vAlign w:val="bottom"/>
          </w:tcPr>
          <w:p>
            <w:pPr>
              <w:ind w:left="1160"/>
              <w:spacing w:after="0"/>
              <w:rPr>
                <w:sz w:val="20"/>
                <w:szCs w:val="20"/>
                <w:color w:val="auto"/>
              </w:rPr>
            </w:pPr>
            <w:r>
              <w:rPr>
                <w:rFonts w:ascii="Arial" w:cs="Arial" w:eastAsia="Arial" w:hAnsi="Arial"/>
                <w:sz w:val="14"/>
                <w:szCs w:val="14"/>
                <w:color w:val="auto"/>
              </w:rPr>
              <w:t>West Midlands UK</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MorsSmitt Asia, Ltd.</w:t>
            </w:r>
          </w:p>
        </w:tc>
        <w:tc>
          <w:tcPr>
            <w:tcW w:w="4240" w:type="dxa"/>
            <w:vAlign w:val="bottom"/>
          </w:tcPr>
          <w:p>
            <w:pPr>
              <w:ind w:left="1160"/>
              <w:spacing w:after="0"/>
              <w:rPr>
                <w:sz w:val="20"/>
                <w:szCs w:val="20"/>
                <w:color w:val="auto"/>
              </w:rPr>
            </w:pPr>
            <w:r>
              <w:rPr>
                <w:rFonts w:ascii="Arial" w:cs="Arial" w:eastAsia="Arial" w:hAnsi="Arial"/>
                <w:sz w:val="14"/>
                <w:szCs w:val="14"/>
                <w:color w:val="auto"/>
              </w:rPr>
              <w:t>Kwun Tong, Hong Kong</w:t>
            </w:r>
          </w:p>
        </w:tc>
        <w:tc>
          <w:tcPr>
            <w:tcW w:w="148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00"/>
          </w:cols>
          <w:pgMar w:left="340" w:top="1440" w:right="359" w:bottom="1440" w:gutter="0" w:footer="0" w:header="0"/>
        </w:sectPr>
      </w:pPr>
    </w:p>
    <w:bookmarkStart w:id="106" w:name="page107"/>
    <w:bookmarkEnd w:id="106"/>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20"/>
                <w:szCs w:val="20"/>
                <w:color w:val="auto"/>
              </w:rPr>
            </w:pPr>
            <w:r>
              <w:rPr>
                <w:rFonts w:ascii="Arial" w:cs="Arial" w:eastAsia="Arial" w:hAnsi="Arial"/>
                <w:sz w:val="14"/>
                <w:szCs w:val="14"/>
                <w:color w:val="auto"/>
              </w:rPr>
              <w:t>Motive Equipment Brasil Ltda</w:t>
            </w:r>
          </w:p>
        </w:tc>
        <w:tc>
          <w:tcPr>
            <w:tcW w:w="4200" w:type="dxa"/>
            <w:vAlign w:val="bottom"/>
          </w:tcPr>
          <w:p>
            <w:pPr>
              <w:ind w:left="1340"/>
              <w:spacing w:after="0"/>
              <w:rPr>
                <w:sz w:val="20"/>
                <w:szCs w:val="20"/>
                <w:color w:val="auto"/>
              </w:rPr>
            </w:pPr>
            <w:r>
              <w:rPr>
                <w:rFonts w:ascii="Arial" w:cs="Arial" w:eastAsia="Arial" w:hAnsi="Arial"/>
                <w:sz w:val="14"/>
                <w:szCs w:val="14"/>
                <w:color w:val="auto"/>
              </w:rPr>
              <w:t>Belo Horizonte, Brazil</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Motive Equipment, Inc.</w:t>
            </w:r>
          </w:p>
        </w:tc>
        <w:tc>
          <w:tcPr>
            <w:tcW w:w="4200" w:type="dxa"/>
            <w:vAlign w:val="bottom"/>
          </w:tcPr>
          <w:p>
            <w:pPr>
              <w:ind w:left="1340"/>
              <w:spacing w:after="0"/>
              <w:rPr>
                <w:sz w:val="20"/>
                <w:szCs w:val="20"/>
                <w:color w:val="auto"/>
              </w:rPr>
            </w:pPr>
            <w:r>
              <w:rPr>
                <w:rFonts w:ascii="Arial" w:cs="Arial" w:eastAsia="Arial" w:hAnsi="Arial"/>
                <w:sz w:val="14"/>
                <w:szCs w:val="14"/>
                <w:color w:val="auto"/>
              </w:rPr>
              <w:t>Milwaukee, Wisconsin</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MotivePower, Inc.</w:t>
            </w:r>
          </w:p>
        </w:tc>
        <w:tc>
          <w:tcPr>
            <w:tcW w:w="4200" w:type="dxa"/>
            <w:vAlign w:val="bottom"/>
          </w:tcPr>
          <w:p>
            <w:pPr>
              <w:ind w:left="1340"/>
              <w:spacing w:after="0"/>
              <w:rPr>
                <w:sz w:val="20"/>
                <w:szCs w:val="20"/>
                <w:color w:val="auto"/>
              </w:rPr>
            </w:pPr>
            <w:r>
              <w:rPr>
                <w:rFonts w:ascii="Arial" w:cs="Arial" w:eastAsia="Arial" w:hAnsi="Arial"/>
                <w:sz w:val="14"/>
                <w:szCs w:val="14"/>
                <w:color w:val="auto"/>
              </w:rPr>
              <w:t>Boise, Idaho</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MTC India Rubber Metal Components Private Limited</w:t>
            </w:r>
          </w:p>
        </w:tc>
        <w:tc>
          <w:tcPr>
            <w:tcW w:w="4200" w:type="dxa"/>
            <w:vAlign w:val="bottom"/>
          </w:tcPr>
          <w:p>
            <w:pPr>
              <w:ind w:left="1340"/>
              <w:spacing w:after="0"/>
              <w:rPr>
                <w:sz w:val="20"/>
                <w:szCs w:val="20"/>
                <w:color w:val="auto"/>
              </w:rPr>
            </w:pPr>
            <w:r>
              <w:rPr>
                <w:rFonts w:ascii="Arial" w:cs="Arial" w:eastAsia="Arial" w:hAnsi="Arial"/>
                <w:sz w:val="14"/>
                <w:szCs w:val="14"/>
                <w:color w:val="auto"/>
              </w:rPr>
              <w:t>Bangalore, India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Napier Turbochargers Australia Pty Ltd.</w:t>
            </w:r>
          </w:p>
        </w:tc>
        <w:tc>
          <w:tcPr>
            <w:tcW w:w="4200" w:type="dxa"/>
            <w:vAlign w:val="bottom"/>
          </w:tcPr>
          <w:p>
            <w:pPr>
              <w:ind w:left="1340"/>
              <w:spacing w:after="0"/>
              <w:rPr>
                <w:sz w:val="20"/>
                <w:szCs w:val="20"/>
                <w:color w:val="auto"/>
              </w:rPr>
            </w:pPr>
            <w:r>
              <w:rPr>
                <w:rFonts w:ascii="Arial" w:cs="Arial" w:eastAsia="Arial" w:hAnsi="Arial"/>
                <w:sz w:val="14"/>
                <w:szCs w:val="14"/>
                <w:color w:val="auto"/>
              </w:rPr>
              <w:t>Sydney, Australia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Napier Turbochargers Limited</w:t>
            </w:r>
          </w:p>
        </w:tc>
        <w:tc>
          <w:tcPr>
            <w:tcW w:w="4200" w:type="dxa"/>
            <w:vAlign w:val="bottom"/>
          </w:tcPr>
          <w:p>
            <w:pPr>
              <w:ind w:left="1340"/>
              <w:spacing w:after="0"/>
              <w:rPr>
                <w:sz w:val="20"/>
                <w:szCs w:val="20"/>
                <w:color w:val="auto"/>
              </w:rPr>
            </w:pPr>
            <w:r>
              <w:rPr>
                <w:rFonts w:ascii="Arial" w:cs="Arial" w:eastAsia="Arial" w:hAnsi="Arial"/>
                <w:sz w:val="14"/>
                <w:szCs w:val="14"/>
                <w:color w:val="auto"/>
              </w:rPr>
              <w:t>Lincoln, Lincolnshire, UK</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o.o.o. Faiveley Transport</w:t>
            </w:r>
          </w:p>
        </w:tc>
        <w:tc>
          <w:tcPr>
            <w:tcW w:w="4200" w:type="dxa"/>
            <w:vAlign w:val="bottom"/>
          </w:tcPr>
          <w:p>
            <w:pPr>
              <w:ind w:left="1340"/>
              <w:spacing w:after="0"/>
              <w:rPr>
                <w:sz w:val="20"/>
                <w:szCs w:val="20"/>
                <w:color w:val="auto"/>
              </w:rPr>
            </w:pPr>
            <w:r>
              <w:rPr>
                <w:rFonts w:ascii="Arial" w:cs="Arial" w:eastAsia="Arial" w:hAnsi="Arial"/>
                <w:sz w:val="14"/>
                <w:szCs w:val="14"/>
                <w:color w:val="auto"/>
              </w:rPr>
              <w:t>Leningrad Region, Russia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Orion Engineering Ltd.</w:t>
            </w:r>
          </w:p>
        </w:tc>
        <w:tc>
          <w:tcPr>
            <w:tcW w:w="4200" w:type="dxa"/>
            <w:vAlign w:val="bottom"/>
          </w:tcPr>
          <w:p>
            <w:pPr>
              <w:ind w:left="1340"/>
              <w:spacing w:after="0"/>
              <w:rPr>
                <w:sz w:val="20"/>
                <w:szCs w:val="20"/>
                <w:color w:val="auto"/>
              </w:rPr>
            </w:pPr>
            <w:r>
              <w:rPr>
                <w:rFonts w:ascii="Arial" w:cs="Arial" w:eastAsia="Arial" w:hAnsi="Arial"/>
                <w:sz w:val="14"/>
                <w:szCs w:val="14"/>
                <w:color w:val="auto"/>
              </w:rPr>
              <w:t>Hong Kong, China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Pantrac GmbH</w:t>
            </w:r>
          </w:p>
        </w:tc>
        <w:tc>
          <w:tcPr>
            <w:tcW w:w="4200" w:type="dxa"/>
            <w:vAlign w:val="bottom"/>
          </w:tcPr>
          <w:p>
            <w:pPr>
              <w:ind w:left="1340"/>
              <w:spacing w:after="0"/>
              <w:rPr>
                <w:sz w:val="20"/>
                <w:szCs w:val="20"/>
                <w:color w:val="auto"/>
              </w:rPr>
            </w:pPr>
            <w:r>
              <w:rPr>
                <w:rFonts w:ascii="Arial" w:cs="Arial" w:eastAsia="Arial" w:hAnsi="Arial"/>
                <w:sz w:val="14"/>
                <w:szCs w:val="14"/>
                <w:color w:val="auto"/>
              </w:rPr>
              <w:t>Germany</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Parts Supply Limited</w:t>
            </w:r>
          </w:p>
        </w:tc>
        <w:tc>
          <w:tcPr>
            <w:tcW w:w="4200" w:type="dxa"/>
            <w:vAlign w:val="bottom"/>
          </w:tcPr>
          <w:p>
            <w:pPr>
              <w:ind w:left="1340"/>
              <w:spacing w:after="0"/>
              <w:rPr>
                <w:sz w:val="20"/>
                <w:szCs w:val="20"/>
                <w:color w:val="auto"/>
              </w:rPr>
            </w:pPr>
            <w:r>
              <w:rPr>
                <w:rFonts w:ascii="Arial" w:cs="Arial" w:eastAsia="Arial" w:hAnsi="Arial"/>
                <w:sz w:val="14"/>
                <w:szCs w:val="14"/>
                <w:color w:val="auto"/>
              </w:rPr>
              <w:t>Leicestershire, England</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Poli S.r.l.</w:t>
            </w:r>
          </w:p>
        </w:tc>
        <w:tc>
          <w:tcPr>
            <w:tcW w:w="4200" w:type="dxa"/>
            <w:vAlign w:val="bottom"/>
          </w:tcPr>
          <w:p>
            <w:pPr>
              <w:ind w:left="1340"/>
              <w:spacing w:after="0"/>
              <w:rPr>
                <w:sz w:val="20"/>
                <w:szCs w:val="20"/>
                <w:color w:val="auto"/>
              </w:rPr>
            </w:pPr>
            <w:r>
              <w:rPr>
                <w:rFonts w:ascii="Arial" w:cs="Arial" w:eastAsia="Arial" w:hAnsi="Arial"/>
                <w:sz w:val="14"/>
                <w:szCs w:val="14"/>
                <w:color w:val="auto"/>
              </w:rPr>
              <w:t>Camisano, Italy</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Pride Bodies Ltd.</w:t>
            </w:r>
          </w:p>
        </w:tc>
        <w:tc>
          <w:tcPr>
            <w:tcW w:w="4200" w:type="dxa"/>
            <w:vAlign w:val="bottom"/>
          </w:tcPr>
          <w:p>
            <w:pPr>
              <w:ind w:left="1340"/>
              <w:spacing w:after="0"/>
              <w:rPr>
                <w:sz w:val="20"/>
                <w:szCs w:val="20"/>
                <w:color w:val="auto"/>
              </w:rPr>
            </w:pPr>
            <w:r>
              <w:rPr>
                <w:rFonts w:ascii="Arial" w:cs="Arial" w:eastAsia="Arial" w:hAnsi="Arial"/>
                <w:sz w:val="14"/>
                <w:szCs w:val="14"/>
                <w:color w:val="auto"/>
              </w:rPr>
              <w:t>Ontario, Canada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PT Transportation Solutions Indonesia</w:t>
            </w:r>
          </w:p>
        </w:tc>
        <w:tc>
          <w:tcPr>
            <w:tcW w:w="4200" w:type="dxa"/>
            <w:vAlign w:val="bottom"/>
          </w:tcPr>
          <w:p>
            <w:pPr>
              <w:ind w:left="1340"/>
              <w:spacing w:after="0"/>
              <w:rPr>
                <w:sz w:val="20"/>
                <w:szCs w:val="20"/>
                <w:color w:val="auto"/>
              </w:rPr>
            </w:pPr>
            <w:r>
              <w:rPr>
                <w:rFonts w:ascii="Arial" w:cs="Arial" w:eastAsia="Arial" w:hAnsi="Arial"/>
                <w:sz w:val="14"/>
                <w:szCs w:val="14"/>
                <w:color w:val="auto"/>
              </w:rPr>
              <w:t>Indonesia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Qingdao Faiveley Sri Rail Brake Co. Ltd.</w:t>
            </w:r>
          </w:p>
        </w:tc>
        <w:tc>
          <w:tcPr>
            <w:tcW w:w="4200" w:type="dxa"/>
            <w:vAlign w:val="bottom"/>
          </w:tcPr>
          <w:p>
            <w:pPr>
              <w:ind w:left="1340"/>
              <w:spacing w:after="0"/>
              <w:rPr>
                <w:sz w:val="20"/>
                <w:szCs w:val="20"/>
                <w:color w:val="auto"/>
              </w:rPr>
            </w:pPr>
            <w:r>
              <w:rPr>
                <w:rFonts w:ascii="Arial" w:cs="Arial" w:eastAsia="Arial" w:hAnsi="Arial"/>
                <w:sz w:val="14"/>
                <w:szCs w:val="14"/>
                <w:color w:val="auto"/>
              </w:rPr>
              <w:t>Qingdao, Shadong, China</w:t>
            </w:r>
          </w:p>
        </w:tc>
        <w:tc>
          <w:tcPr>
            <w:tcW w:w="170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Railcar Management, LLC</w:t>
            </w:r>
          </w:p>
        </w:tc>
        <w:tc>
          <w:tcPr>
            <w:tcW w:w="4200" w:type="dxa"/>
            <w:vAlign w:val="bottom"/>
          </w:tcPr>
          <w:p>
            <w:pPr>
              <w:ind w:left="1340"/>
              <w:spacing w:after="0"/>
              <w:rPr>
                <w:sz w:val="20"/>
                <w:szCs w:val="20"/>
                <w:color w:val="auto"/>
              </w:rPr>
            </w:pPr>
            <w:r>
              <w:rPr>
                <w:rFonts w:ascii="Arial" w:cs="Arial" w:eastAsia="Arial" w:hAnsi="Arial"/>
                <w:sz w:val="14"/>
                <w:szCs w:val="14"/>
                <w:color w:val="auto"/>
              </w:rPr>
              <w:t>Atlanta, Georgia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Railroad Controls Construction, Inc.</w:t>
            </w:r>
          </w:p>
        </w:tc>
        <w:tc>
          <w:tcPr>
            <w:tcW w:w="4200" w:type="dxa"/>
            <w:vAlign w:val="bottom"/>
          </w:tcPr>
          <w:p>
            <w:pPr>
              <w:ind w:left="1340"/>
              <w:spacing w:after="0"/>
              <w:rPr>
                <w:sz w:val="20"/>
                <w:szCs w:val="20"/>
                <w:color w:val="auto"/>
              </w:rPr>
            </w:pPr>
            <w:r>
              <w:rPr>
                <w:rFonts w:ascii="Arial" w:cs="Arial" w:eastAsia="Arial" w:hAnsi="Arial"/>
                <w:sz w:val="14"/>
                <w:szCs w:val="14"/>
                <w:color w:val="auto"/>
              </w:rPr>
              <w:t>Benbrook, Texas</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Railroad Controls, L.P.</w:t>
            </w:r>
          </w:p>
        </w:tc>
        <w:tc>
          <w:tcPr>
            <w:tcW w:w="4200" w:type="dxa"/>
            <w:vAlign w:val="bottom"/>
          </w:tcPr>
          <w:p>
            <w:pPr>
              <w:ind w:left="1340"/>
              <w:spacing w:after="0"/>
              <w:rPr>
                <w:sz w:val="20"/>
                <w:szCs w:val="20"/>
                <w:color w:val="auto"/>
              </w:rPr>
            </w:pPr>
            <w:r>
              <w:rPr>
                <w:rFonts w:ascii="Arial" w:cs="Arial" w:eastAsia="Arial" w:hAnsi="Arial"/>
                <w:sz w:val="14"/>
                <w:szCs w:val="14"/>
                <w:color w:val="auto"/>
              </w:rPr>
              <w:t>Benbrook, Texas</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Railroad Friction Products Corporation</w:t>
            </w:r>
          </w:p>
        </w:tc>
        <w:tc>
          <w:tcPr>
            <w:tcW w:w="4200" w:type="dxa"/>
            <w:vAlign w:val="bottom"/>
          </w:tcPr>
          <w:p>
            <w:pPr>
              <w:ind w:left="1340"/>
              <w:spacing w:after="0"/>
              <w:rPr>
                <w:sz w:val="20"/>
                <w:szCs w:val="20"/>
                <w:color w:val="auto"/>
              </w:rPr>
            </w:pPr>
            <w:r>
              <w:rPr>
                <w:rFonts w:ascii="Arial" w:cs="Arial" w:eastAsia="Arial" w:hAnsi="Arial"/>
                <w:sz w:val="14"/>
                <w:szCs w:val="14"/>
                <w:color w:val="auto"/>
              </w:rPr>
              <w:t>Maxton, North Carolina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RCLP Acquisition LLC</w:t>
            </w:r>
          </w:p>
        </w:tc>
        <w:tc>
          <w:tcPr>
            <w:tcW w:w="4200" w:type="dxa"/>
            <w:vAlign w:val="bottom"/>
          </w:tcPr>
          <w:p>
            <w:pPr>
              <w:ind w:left="1340"/>
              <w:spacing w:after="0"/>
              <w:rPr>
                <w:sz w:val="20"/>
                <w:szCs w:val="20"/>
                <w:color w:val="auto"/>
              </w:rPr>
            </w:pPr>
            <w:r>
              <w:rPr>
                <w:rFonts w:ascii="Arial" w:cs="Arial" w:eastAsia="Arial" w:hAnsi="Arial"/>
                <w:sz w:val="14"/>
                <w:szCs w:val="14"/>
                <w:color w:val="auto"/>
              </w:rPr>
              <w:t>Benbrook, Texas</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Relay Monitoring Systems Pty Ltd.</w:t>
            </w:r>
          </w:p>
        </w:tc>
        <w:tc>
          <w:tcPr>
            <w:tcW w:w="4200" w:type="dxa"/>
            <w:vAlign w:val="bottom"/>
          </w:tcPr>
          <w:p>
            <w:pPr>
              <w:ind w:left="1340"/>
              <w:spacing w:after="0"/>
              <w:rPr>
                <w:sz w:val="20"/>
                <w:szCs w:val="20"/>
                <w:color w:val="auto"/>
              </w:rPr>
            </w:pPr>
            <w:r>
              <w:rPr>
                <w:rFonts w:ascii="Arial" w:cs="Arial" w:eastAsia="Arial" w:hAnsi="Arial"/>
                <w:sz w:val="14"/>
                <w:szCs w:val="14"/>
                <w:color w:val="auto"/>
              </w:rPr>
              <w:t>Mulgrave, Australia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Relco Land Holdings of Cedar Rapids, LLC</w:t>
            </w:r>
          </w:p>
        </w:tc>
        <w:tc>
          <w:tcPr>
            <w:tcW w:w="4200" w:type="dxa"/>
            <w:vAlign w:val="bottom"/>
          </w:tcPr>
          <w:p>
            <w:pPr>
              <w:ind w:left="1340"/>
              <w:spacing w:after="0"/>
              <w:rPr>
                <w:sz w:val="20"/>
                <w:szCs w:val="20"/>
                <w:color w:val="auto"/>
              </w:rPr>
            </w:pPr>
            <w:r>
              <w:rPr>
                <w:rFonts w:ascii="Arial" w:cs="Arial" w:eastAsia="Arial" w:hAnsi="Arial"/>
                <w:sz w:val="14"/>
                <w:szCs w:val="14"/>
                <w:color w:val="auto"/>
              </w:rPr>
              <w:t>Albia, Iowa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Relco Locomotives, Inc.</w:t>
            </w:r>
          </w:p>
        </w:tc>
        <w:tc>
          <w:tcPr>
            <w:tcW w:w="4200" w:type="dxa"/>
            <w:vAlign w:val="bottom"/>
          </w:tcPr>
          <w:p>
            <w:pPr>
              <w:ind w:left="1340"/>
              <w:spacing w:after="0"/>
              <w:rPr>
                <w:sz w:val="20"/>
                <w:szCs w:val="20"/>
                <w:color w:val="auto"/>
              </w:rPr>
            </w:pPr>
            <w:r>
              <w:rPr>
                <w:rFonts w:ascii="Arial" w:cs="Arial" w:eastAsia="Arial" w:hAnsi="Arial"/>
                <w:sz w:val="14"/>
                <w:szCs w:val="14"/>
                <w:color w:val="auto"/>
              </w:rPr>
              <w:t>Albia, Iowa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RFPC Holding Corp</w:t>
            </w:r>
          </w:p>
        </w:tc>
        <w:tc>
          <w:tcPr>
            <w:tcW w:w="4200" w:type="dxa"/>
            <w:vAlign w:val="bottom"/>
          </w:tcPr>
          <w:p>
            <w:pPr>
              <w:ind w:left="1340"/>
              <w:spacing w:after="0"/>
              <w:rPr>
                <w:sz w:val="20"/>
                <w:szCs w:val="20"/>
                <w:color w:val="auto"/>
              </w:rPr>
            </w:pPr>
            <w:r>
              <w:rPr>
                <w:rFonts w:ascii="Arial" w:cs="Arial" w:eastAsia="Arial" w:hAnsi="Arial"/>
                <w:sz w:val="14"/>
                <w:szCs w:val="14"/>
                <w:color w:val="auto"/>
              </w:rPr>
              <w:t>Wilmington, Delaware</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Ricon Corp</w:t>
            </w:r>
          </w:p>
        </w:tc>
        <w:tc>
          <w:tcPr>
            <w:tcW w:w="4200" w:type="dxa"/>
            <w:vAlign w:val="bottom"/>
          </w:tcPr>
          <w:p>
            <w:pPr>
              <w:ind w:left="1340"/>
              <w:spacing w:after="0"/>
              <w:rPr>
                <w:sz w:val="20"/>
                <w:szCs w:val="20"/>
                <w:color w:val="auto"/>
              </w:rPr>
            </w:pPr>
            <w:r>
              <w:rPr>
                <w:rFonts w:ascii="Arial" w:cs="Arial" w:eastAsia="Arial" w:hAnsi="Arial"/>
                <w:sz w:val="14"/>
                <w:szCs w:val="14"/>
                <w:color w:val="auto"/>
              </w:rPr>
              <w:t>San Fernando, California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SAB Wabco (Investments) Ltd.</w:t>
            </w:r>
          </w:p>
        </w:tc>
        <w:tc>
          <w:tcPr>
            <w:tcW w:w="4200" w:type="dxa"/>
            <w:vAlign w:val="bottom"/>
          </w:tcPr>
          <w:p>
            <w:pPr>
              <w:ind w:left="1340"/>
              <w:spacing w:after="0"/>
              <w:rPr>
                <w:sz w:val="20"/>
                <w:szCs w:val="20"/>
                <w:color w:val="auto"/>
              </w:rPr>
            </w:pPr>
            <w:r>
              <w:rPr>
                <w:rFonts w:ascii="Arial" w:cs="Arial" w:eastAsia="Arial" w:hAnsi="Arial"/>
                <w:sz w:val="14"/>
                <w:szCs w:val="14"/>
                <w:color w:val="auto"/>
              </w:rPr>
              <w:t>Birkenhead, UK</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SAB Wabco UK Ltd.</w:t>
            </w:r>
          </w:p>
        </w:tc>
        <w:tc>
          <w:tcPr>
            <w:tcW w:w="4200" w:type="dxa"/>
            <w:vAlign w:val="bottom"/>
          </w:tcPr>
          <w:p>
            <w:pPr>
              <w:ind w:left="1340"/>
              <w:spacing w:after="0"/>
              <w:rPr>
                <w:sz w:val="20"/>
                <w:szCs w:val="20"/>
                <w:color w:val="auto"/>
              </w:rPr>
            </w:pPr>
            <w:r>
              <w:rPr>
                <w:rFonts w:ascii="Arial" w:cs="Arial" w:eastAsia="Arial" w:hAnsi="Arial"/>
                <w:sz w:val="14"/>
                <w:szCs w:val="14"/>
                <w:color w:val="auto"/>
              </w:rPr>
              <w:t>Birkenhead, UK</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Schaefer Equipment, Inc.</w:t>
            </w:r>
          </w:p>
        </w:tc>
        <w:tc>
          <w:tcPr>
            <w:tcW w:w="4200" w:type="dxa"/>
            <w:vAlign w:val="bottom"/>
          </w:tcPr>
          <w:p>
            <w:pPr>
              <w:ind w:left="1340"/>
              <w:spacing w:after="0"/>
              <w:rPr>
                <w:sz w:val="20"/>
                <w:szCs w:val="20"/>
                <w:color w:val="auto"/>
              </w:rPr>
            </w:pPr>
            <w:r>
              <w:rPr>
                <w:rFonts w:ascii="Arial" w:cs="Arial" w:eastAsia="Arial" w:hAnsi="Arial"/>
                <w:sz w:val="14"/>
                <w:szCs w:val="14"/>
                <w:color w:val="auto"/>
              </w:rPr>
              <w:t>Warren, Ohio</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SCT Europe Ltd.</w:t>
            </w:r>
          </w:p>
        </w:tc>
        <w:tc>
          <w:tcPr>
            <w:tcW w:w="4200" w:type="dxa"/>
            <w:vAlign w:val="bottom"/>
          </w:tcPr>
          <w:p>
            <w:pPr>
              <w:ind w:left="1340"/>
              <w:spacing w:after="0"/>
              <w:rPr>
                <w:sz w:val="20"/>
                <w:szCs w:val="20"/>
                <w:color w:val="auto"/>
              </w:rPr>
            </w:pPr>
            <w:r>
              <w:rPr>
                <w:rFonts w:ascii="Arial" w:cs="Arial" w:eastAsia="Arial" w:hAnsi="Arial"/>
                <w:sz w:val="14"/>
                <w:szCs w:val="14"/>
                <w:color w:val="auto"/>
              </w:rPr>
              <w:t>Kirkcaldy, Fife, UK</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SCT Technology LLC</w:t>
            </w:r>
          </w:p>
        </w:tc>
        <w:tc>
          <w:tcPr>
            <w:tcW w:w="4200" w:type="dxa"/>
            <w:vAlign w:val="bottom"/>
          </w:tcPr>
          <w:p>
            <w:pPr>
              <w:ind w:left="1340"/>
              <w:spacing w:after="0"/>
              <w:rPr>
                <w:sz w:val="20"/>
                <w:szCs w:val="20"/>
                <w:color w:val="auto"/>
              </w:rPr>
            </w:pPr>
            <w:r>
              <w:rPr>
                <w:rFonts w:ascii="Arial" w:cs="Arial" w:eastAsia="Arial" w:hAnsi="Arial"/>
                <w:sz w:val="14"/>
                <w:szCs w:val="14"/>
                <w:color w:val="auto"/>
              </w:rPr>
              <w:t>Wilmington, Delaware</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Semvac A/S</w:t>
            </w:r>
          </w:p>
        </w:tc>
        <w:tc>
          <w:tcPr>
            <w:tcW w:w="4200" w:type="dxa"/>
            <w:vAlign w:val="bottom"/>
          </w:tcPr>
          <w:p>
            <w:pPr>
              <w:ind w:left="1340"/>
              <w:spacing w:after="0"/>
              <w:rPr>
                <w:sz w:val="20"/>
                <w:szCs w:val="20"/>
                <w:color w:val="auto"/>
              </w:rPr>
            </w:pPr>
            <w:r>
              <w:rPr>
                <w:rFonts w:ascii="Arial" w:cs="Arial" w:eastAsia="Arial" w:hAnsi="Arial"/>
                <w:sz w:val="14"/>
                <w:szCs w:val="14"/>
                <w:color w:val="auto"/>
              </w:rPr>
              <w:t>Odense, Denmark</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Servicios de Administracion de Locomotoras, S. de R.L. de C.V.</w:t>
            </w:r>
          </w:p>
        </w:tc>
        <w:tc>
          <w:tcPr>
            <w:tcW w:w="4200" w:type="dxa"/>
            <w:vAlign w:val="bottom"/>
          </w:tcPr>
          <w:p>
            <w:pPr>
              <w:ind w:left="1340"/>
              <w:spacing w:after="0"/>
              <w:rPr>
                <w:sz w:val="20"/>
                <w:szCs w:val="20"/>
                <w:color w:val="auto"/>
              </w:rPr>
            </w:pPr>
            <w:r>
              <w:rPr>
                <w:rFonts w:ascii="Arial" w:cs="Arial" w:eastAsia="Arial" w:hAnsi="Arial"/>
                <w:sz w:val="14"/>
                <w:szCs w:val="14"/>
                <w:color w:val="auto"/>
              </w:rPr>
              <w:t>Mexico</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Shenyang CRRC Wabtec Railway Brake Technology Company, Ltd.</w:t>
            </w:r>
          </w:p>
        </w:tc>
        <w:tc>
          <w:tcPr>
            <w:tcW w:w="4200" w:type="dxa"/>
            <w:vAlign w:val="bottom"/>
          </w:tcPr>
          <w:p>
            <w:pPr>
              <w:ind w:left="1340"/>
              <w:spacing w:after="0"/>
              <w:rPr>
                <w:sz w:val="20"/>
                <w:szCs w:val="20"/>
                <w:color w:val="auto"/>
              </w:rPr>
            </w:pPr>
            <w:r>
              <w:rPr>
                <w:rFonts w:ascii="Arial" w:cs="Arial" w:eastAsia="Arial" w:hAnsi="Arial"/>
                <w:sz w:val="14"/>
                <w:szCs w:val="14"/>
                <w:color w:val="auto"/>
              </w:rPr>
              <w:t>Shenyang, China</w:t>
            </w:r>
          </w:p>
        </w:tc>
        <w:tc>
          <w:tcPr>
            <w:tcW w:w="170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Shijiazhuang Jiaxiang Precision Machinery Co. Ltd.</w:t>
            </w:r>
          </w:p>
        </w:tc>
        <w:tc>
          <w:tcPr>
            <w:tcW w:w="4200" w:type="dxa"/>
            <w:vAlign w:val="bottom"/>
          </w:tcPr>
          <w:p>
            <w:pPr>
              <w:ind w:left="1340"/>
              <w:spacing w:after="0"/>
              <w:rPr>
                <w:sz w:val="20"/>
                <w:szCs w:val="20"/>
                <w:color w:val="auto"/>
              </w:rPr>
            </w:pPr>
            <w:r>
              <w:rPr>
                <w:rFonts w:ascii="Arial" w:cs="Arial" w:eastAsia="Arial" w:hAnsi="Arial"/>
                <w:sz w:val="14"/>
                <w:szCs w:val="14"/>
                <w:color w:val="auto"/>
              </w:rPr>
              <w:t>Shijiazhuang, China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ShipXpress Technologies (Private) Limited</w:t>
            </w:r>
          </w:p>
        </w:tc>
        <w:tc>
          <w:tcPr>
            <w:tcW w:w="4200" w:type="dxa"/>
            <w:vAlign w:val="bottom"/>
          </w:tcPr>
          <w:p>
            <w:pPr>
              <w:ind w:left="1340"/>
              <w:spacing w:after="0"/>
              <w:rPr>
                <w:sz w:val="20"/>
                <w:szCs w:val="20"/>
                <w:color w:val="auto"/>
              </w:rPr>
            </w:pPr>
            <w:r>
              <w:rPr>
                <w:rFonts w:ascii="Arial" w:cs="Arial" w:eastAsia="Arial" w:hAnsi="Arial"/>
                <w:sz w:val="14"/>
                <w:szCs w:val="14"/>
                <w:color w:val="auto"/>
              </w:rPr>
              <w:t>Nugegoda, Sri Lanka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Standard Car Truck Company</w:t>
            </w:r>
          </w:p>
        </w:tc>
        <w:tc>
          <w:tcPr>
            <w:tcW w:w="4200" w:type="dxa"/>
            <w:vAlign w:val="bottom"/>
          </w:tcPr>
          <w:p>
            <w:pPr>
              <w:ind w:left="1340"/>
              <w:spacing w:after="0"/>
              <w:rPr>
                <w:sz w:val="20"/>
                <w:szCs w:val="20"/>
                <w:color w:val="auto"/>
              </w:rPr>
            </w:pPr>
            <w:r>
              <w:rPr>
                <w:rFonts w:ascii="Arial" w:cs="Arial" w:eastAsia="Arial" w:hAnsi="Arial"/>
                <w:sz w:val="14"/>
                <w:szCs w:val="14"/>
                <w:color w:val="auto"/>
              </w:rPr>
              <w:t>Park Ridge, Illinois</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Standard Car Truck-Asia, Inc.</w:t>
            </w:r>
          </w:p>
        </w:tc>
        <w:tc>
          <w:tcPr>
            <w:tcW w:w="4200" w:type="dxa"/>
            <w:vAlign w:val="bottom"/>
          </w:tcPr>
          <w:p>
            <w:pPr>
              <w:ind w:left="1340"/>
              <w:spacing w:after="0"/>
              <w:rPr>
                <w:sz w:val="20"/>
                <w:szCs w:val="20"/>
                <w:color w:val="auto"/>
              </w:rPr>
            </w:pPr>
            <w:r>
              <w:rPr>
                <w:rFonts w:ascii="Arial" w:cs="Arial" w:eastAsia="Arial" w:hAnsi="Arial"/>
                <w:sz w:val="14"/>
                <w:szCs w:val="14"/>
                <w:color w:val="auto"/>
              </w:rPr>
              <w:t>Chaoyang District, Beijing</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Stemmann Technik France SAS</w:t>
            </w:r>
          </w:p>
        </w:tc>
        <w:tc>
          <w:tcPr>
            <w:tcW w:w="4200" w:type="dxa"/>
            <w:vAlign w:val="bottom"/>
          </w:tcPr>
          <w:p>
            <w:pPr>
              <w:ind w:left="1340"/>
              <w:spacing w:after="0"/>
              <w:rPr>
                <w:sz w:val="20"/>
                <w:szCs w:val="20"/>
                <w:color w:val="auto"/>
              </w:rPr>
            </w:pPr>
            <w:r>
              <w:rPr>
                <w:rFonts w:ascii="Arial" w:cs="Arial" w:eastAsia="Arial" w:hAnsi="Arial"/>
                <w:sz w:val="14"/>
                <w:szCs w:val="14"/>
                <w:color w:val="auto"/>
              </w:rPr>
              <w:t>Buchelay, France</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Stemmann-Technik GmbH</w:t>
            </w:r>
          </w:p>
        </w:tc>
        <w:tc>
          <w:tcPr>
            <w:tcW w:w="4200" w:type="dxa"/>
            <w:vAlign w:val="bottom"/>
          </w:tcPr>
          <w:p>
            <w:pPr>
              <w:ind w:left="1340"/>
              <w:spacing w:after="0"/>
              <w:rPr>
                <w:sz w:val="20"/>
                <w:szCs w:val="20"/>
                <w:color w:val="auto"/>
              </w:rPr>
            </w:pPr>
            <w:r>
              <w:rPr>
                <w:rFonts w:ascii="Arial" w:cs="Arial" w:eastAsia="Arial" w:hAnsi="Arial"/>
                <w:sz w:val="14"/>
                <w:szCs w:val="14"/>
                <w:color w:val="auto"/>
              </w:rPr>
              <w:t>Schüttorf, Germany</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Stemmann-Technik Hong Kong Company Limited</w:t>
            </w:r>
          </w:p>
        </w:tc>
        <w:tc>
          <w:tcPr>
            <w:tcW w:w="4200" w:type="dxa"/>
            <w:vAlign w:val="bottom"/>
          </w:tcPr>
          <w:p>
            <w:pPr>
              <w:ind w:left="1340"/>
              <w:spacing w:after="0"/>
              <w:rPr>
                <w:sz w:val="20"/>
                <w:szCs w:val="20"/>
                <w:color w:val="auto"/>
              </w:rPr>
            </w:pPr>
            <w:r>
              <w:rPr>
                <w:rFonts w:ascii="Arial" w:cs="Arial" w:eastAsia="Arial" w:hAnsi="Arial"/>
                <w:sz w:val="14"/>
                <w:szCs w:val="14"/>
                <w:color w:val="auto"/>
              </w:rPr>
              <w:t>Hong Kong, China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Stemmann Polska SP Zoo</w:t>
            </w:r>
          </w:p>
        </w:tc>
        <w:tc>
          <w:tcPr>
            <w:tcW w:w="4200" w:type="dxa"/>
            <w:vAlign w:val="bottom"/>
          </w:tcPr>
          <w:p>
            <w:pPr>
              <w:ind w:left="1340"/>
              <w:spacing w:after="0"/>
              <w:rPr>
                <w:sz w:val="20"/>
                <w:szCs w:val="20"/>
                <w:color w:val="auto"/>
              </w:rPr>
            </w:pPr>
            <w:r>
              <w:rPr>
                <w:rFonts w:ascii="Arial" w:cs="Arial" w:eastAsia="Arial" w:hAnsi="Arial"/>
                <w:sz w:val="14"/>
                <w:szCs w:val="14"/>
                <w:color w:val="auto"/>
              </w:rPr>
              <w:t>Katy Wroclawskie, Poland</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Stemmann-Technik (Shanghai) Ltd.</w:t>
            </w:r>
          </w:p>
        </w:tc>
        <w:tc>
          <w:tcPr>
            <w:tcW w:w="4200" w:type="dxa"/>
            <w:vAlign w:val="bottom"/>
          </w:tcPr>
          <w:p>
            <w:pPr>
              <w:ind w:left="1340"/>
              <w:spacing w:after="0"/>
              <w:rPr>
                <w:sz w:val="20"/>
                <w:szCs w:val="20"/>
                <w:color w:val="auto"/>
              </w:rPr>
            </w:pPr>
            <w:r>
              <w:rPr>
                <w:rFonts w:ascii="Arial" w:cs="Arial" w:eastAsia="Arial" w:hAnsi="Arial"/>
                <w:sz w:val="14"/>
                <w:szCs w:val="14"/>
                <w:color w:val="auto"/>
              </w:rPr>
              <w:t>Shanghai, China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Suecobras Consultoria Ferroviaria Ltda</w:t>
            </w:r>
          </w:p>
        </w:tc>
        <w:tc>
          <w:tcPr>
            <w:tcW w:w="4200" w:type="dxa"/>
            <w:vAlign w:val="bottom"/>
          </w:tcPr>
          <w:p>
            <w:pPr>
              <w:ind w:left="1340"/>
              <w:spacing w:after="0"/>
              <w:rPr>
                <w:sz w:val="20"/>
                <w:szCs w:val="20"/>
                <w:color w:val="auto"/>
              </w:rPr>
            </w:pPr>
            <w:r>
              <w:rPr>
                <w:rFonts w:ascii="Arial" w:cs="Arial" w:eastAsia="Arial" w:hAnsi="Arial"/>
                <w:sz w:val="14"/>
                <w:szCs w:val="14"/>
                <w:color w:val="auto"/>
              </w:rPr>
              <w:t>Rio de Janeiro, Brazil</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Thermal Transfer Acquisition Corporation</w:t>
            </w:r>
          </w:p>
        </w:tc>
        <w:tc>
          <w:tcPr>
            <w:tcW w:w="4200" w:type="dxa"/>
            <w:vAlign w:val="bottom"/>
          </w:tcPr>
          <w:p>
            <w:pPr>
              <w:ind w:left="1340"/>
              <w:spacing w:after="0"/>
              <w:rPr>
                <w:sz w:val="20"/>
                <w:szCs w:val="20"/>
                <w:color w:val="auto"/>
              </w:rPr>
            </w:pPr>
            <w:r>
              <w:rPr>
                <w:rFonts w:ascii="Arial" w:cs="Arial" w:eastAsia="Arial" w:hAnsi="Arial"/>
                <w:sz w:val="14"/>
                <w:szCs w:val="14"/>
                <w:color w:val="auto"/>
              </w:rPr>
              <w:t>Duquesne, Pennsylvania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The Vista Corporation of Virginia</w:t>
            </w:r>
          </w:p>
        </w:tc>
        <w:tc>
          <w:tcPr>
            <w:tcW w:w="4200" w:type="dxa"/>
            <w:vAlign w:val="bottom"/>
          </w:tcPr>
          <w:p>
            <w:pPr>
              <w:ind w:left="1340"/>
              <w:spacing w:after="0"/>
              <w:rPr>
                <w:sz w:val="20"/>
                <w:szCs w:val="20"/>
                <w:color w:val="auto"/>
              </w:rPr>
            </w:pPr>
            <w:r>
              <w:rPr>
                <w:rFonts w:ascii="Arial" w:cs="Arial" w:eastAsia="Arial" w:hAnsi="Arial"/>
                <w:sz w:val="14"/>
                <w:szCs w:val="14"/>
                <w:color w:val="auto"/>
              </w:rPr>
              <w:t>Salem, Virginia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TMT Holding AB</w:t>
            </w:r>
          </w:p>
        </w:tc>
        <w:tc>
          <w:tcPr>
            <w:tcW w:w="4200" w:type="dxa"/>
            <w:vAlign w:val="bottom"/>
          </w:tcPr>
          <w:p>
            <w:pPr>
              <w:ind w:left="1340"/>
              <w:spacing w:after="0"/>
              <w:rPr>
                <w:sz w:val="20"/>
                <w:szCs w:val="20"/>
                <w:color w:val="auto"/>
              </w:rPr>
            </w:pPr>
            <w:r>
              <w:rPr>
                <w:rFonts w:ascii="Arial" w:cs="Arial" w:eastAsia="Arial" w:hAnsi="Arial"/>
                <w:sz w:val="14"/>
                <w:szCs w:val="14"/>
                <w:color w:val="auto"/>
              </w:rPr>
              <w:t>Stockholm, Sweden</w:t>
            </w:r>
          </w:p>
        </w:tc>
        <w:tc>
          <w:tcPr>
            <w:tcW w:w="170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Transportation Eastern Europe S.r.l.</w:t>
            </w:r>
          </w:p>
        </w:tc>
        <w:tc>
          <w:tcPr>
            <w:tcW w:w="4200" w:type="dxa"/>
            <w:vAlign w:val="bottom"/>
          </w:tcPr>
          <w:p>
            <w:pPr>
              <w:ind w:left="1340"/>
              <w:spacing w:after="0"/>
              <w:rPr>
                <w:sz w:val="20"/>
                <w:szCs w:val="20"/>
                <w:color w:val="auto"/>
              </w:rPr>
            </w:pPr>
            <w:r>
              <w:rPr>
                <w:rFonts w:ascii="Arial" w:cs="Arial" w:eastAsia="Arial" w:hAnsi="Arial"/>
                <w:sz w:val="14"/>
                <w:szCs w:val="14"/>
                <w:color w:val="auto"/>
              </w:rPr>
              <w:t>Chisinau, Moldova</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Transportation Global Egypt L.L.C.</w:t>
            </w:r>
          </w:p>
        </w:tc>
        <w:tc>
          <w:tcPr>
            <w:tcW w:w="4200" w:type="dxa"/>
            <w:vAlign w:val="bottom"/>
          </w:tcPr>
          <w:p>
            <w:pPr>
              <w:ind w:left="1340"/>
              <w:spacing w:after="0"/>
              <w:rPr>
                <w:sz w:val="20"/>
                <w:szCs w:val="20"/>
                <w:color w:val="auto"/>
              </w:rPr>
            </w:pPr>
            <w:r>
              <w:rPr>
                <w:rFonts w:ascii="Arial" w:cs="Arial" w:eastAsia="Arial" w:hAnsi="Arial"/>
                <w:sz w:val="14"/>
                <w:szCs w:val="14"/>
                <w:color w:val="auto"/>
              </w:rPr>
              <w:t>Egypt</w:t>
            </w:r>
          </w:p>
        </w:tc>
        <w:tc>
          <w:tcPr>
            <w:tcW w:w="170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00"/>
          </w:cols>
          <w:pgMar w:left="340" w:top="1440" w:right="359" w:bottom="1440" w:gutter="0" w:footer="0" w:header="0"/>
        </w:sectPr>
      </w:pPr>
    </w:p>
    <w:bookmarkStart w:id="107" w:name="page108"/>
    <w:bookmarkEnd w:id="10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20"/>
                <w:szCs w:val="20"/>
                <w:color w:val="auto"/>
              </w:rPr>
            </w:pPr>
            <w:r>
              <w:rPr>
                <w:rFonts w:ascii="Arial" w:cs="Arial" w:eastAsia="Arial" w:hAnsi="Arial"/>
                <w:sz w:val="14"/>
                <w:szCs w:val="14"/>
                <w:color w:val="auto"/>
              </w:rPr>
              <w:t>Transportation Global LLC</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Holdings UK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Altrincham, England</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IP Holdings, LLC</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Kazakhstan Limited Liability Partnership</w:t>
            </w:r>
          </w:p>
        </w:tc>
        <w:tc>
          <w:tcPr>
            <w:tcW w:w="4020" w:type="dxa"/>
            <w:vAlign w:val="bottom"/>
          </w:tcPr>
          <w:p>
            <w:pPr>
              <w:ind w:left="920"/>
              <w:spacing w:after="0"/>
              <w:rPr>
                <w:sz w:val="20"/>
                <w:szCs w:val="20"/>
                <w:color w:val="auto"/>
              </w:rPr>
            </w:pPr>
            <w:r>
              <w:rPr>
                <w:rFonts w:ascii="Arial" w:cs="Arial" w:eastAsia="Arial" w:hAnsi="Arial"/>
                <w:sz w:val="14"/>
                <w:szCs w:val="14"/>
                <w:color w:val="auto"/>
              </w:rPr>
              <w:t>Kazakhstan</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Poland sp. z o.o.</w:t>
            </w:r>
          </w:p>
        </w:tc>
        <w:tc>
          <w:tcPr>
            <w:tcW w:w="4020" w:type="dxa"/>
            <w:vAlign w:val="bottom"/>
          </w:tcPr>
          <w:p>
            <w:pPr>
              <w:ind w:left="920"/>
              <w:spacing w:after="0"/>
              <w:rPr>
                <w:sz w:val="20"/>
                <w:szCs w:val="20"/>
                <w:color w:val="auto"/>
              </w:rPr>
            </w:pPr>
            <w:r>
              <w:rPr>
                <w:rFonts w:ascii="Arial" w:cs="Arial" w:eastAsia="Arial" w:hAnsi="Arial"/>
                <w:sz w:val="14"/>
                <w:szCs w:val="14"/>
                <w:color w:val="auto"/>
              </w:rPr>
              <w:t>Poland</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Rus Limited Liability Company</w:t>
            </w:r>
          </w:p>
        </w:tc>
        <w:tc>
          <w:tcPr>
            <w:tcW w:w="4020" w:type="dxa"/>
            <w:vAlign w:val="bottom"/>
          </w:tcPr>
          <w:p>
            <w:pPr>
              <w:ind w:left="920"/>
              <w:spacing w:after="0"/>
              <w:rPr>
                <w:sz w:val="20"/>
                <w:szCs w:val="20"/>
                <w:color w:val="auto"/>
              </w:rPr>
            </w:pPr>
            <w:r>
              <w:rPr>
                <w:rFonts w:ascii="Arial" w:cs="Arial" w:eastAsia="Arial" w:hAnsi="Arial"/>
                <w:sz w:val="14"/>
                <w:szCs w:val="14"/>
                <w:color w:val="auto"/>
              </w:rPr>
              <w:t>Moscow, Russia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Services and Technologies Nigeria Ltd.</w:t>
            </w:r>
          </w:p>
        </w:tc>
        <w:tc>
          <w:tcPr>
            <w:tcW w:w="4020" w:type="dxa"/>
            <w:vAlign w:val="bottom"/>
          </w:tcPr>
          <w:p>
            <w:pPr>
              <w:ind w:left="920"/>
              <w:spacing w:after="0"/>
              <w:rPr>
                <w:sz w:val="20"/>
                <w:szCs w:val="20"/>
                <w:color w:val="auto"/>
              </w:rPr>
            </w:pPr>
            <w:r>
              <w:rPr>
                <w:rFonts w:ascii="Arial" w:cs="Arial" w:eastAsia="Arial" w:hAnsi="Arial"/>
                <w:sz w:val="14"/>
                <w:szCs w:val="14"/>
                <w:color w:val="auto"/>
              </w:rPr>
              <w:t>Lagos, Nigeria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Systems and Services Cameroon Ltd.</w:t>
            </w:r>
          </w:p>
        </w:tc>
        <w:tc>
          <w:tcPr>
            <w:tcW w:w="4020" w:type="dxa"/>
            <w:vAlign w:val="bottom"/>
          </w:tcPr>
          <w:p>
            <w:pPr>
              <w:ind w:left="920"/>
              <w:spacing w:after="0"/>
              <w:rPr>
                <w:sz w:val="20"/>
                <w:szCs w:val="20"/>
                <w:color w:val="auto"/>
              </w:rPr>
            </w:pPr>
            <w:r>
              <w:rPr>
                <w:rFonts w:ascii="Arial" w:cs="Arial" w:eastAsia="Arial" w:hAnsi="Arial"/>
                <w:sz w:val="14"/>
                <w:szCs w:val="14"/>
                <w:color w:val="auto"/>
              </w:rPr>
              <w:t>Cameroon</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Systems Pakistan (Private)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Lahore, Pakistan</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Systems Services Operations Inc.</w:t>
            </w:r>
          </w:p>
        </w:tc>
        <w:tc>
          <w:tcPr>
            <w:tcW w:w="4020" w:type="dxa"/>
            <w:vAlign w:val="bottom"/>
          </w:tcPr>
          <w:p>
            <w:pPr>
              <w:ind w:left="920"/>
              <w:spacing w:after="0"/>
              <w:rPr>
                <w:sz w:val="20"/>
                <w:szCs w:val="20"/>
                <w:color w:val="auto"/>
              </w:rPr>
            </w:pPr>
            <w:r>
              <w:rPr>
                <w:rFonts w:ascii="Arial" w:cs="Arial" w:eastAsia="Arial" w:hAnsi="Arial"/>
                <w:sz w:val="14"/>
                <w:szCs w:val="14"/>
                <w:color w:val="auto"/>
              </w:rPr>
              <w:t>Carson City, Nevada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Transportation Turkey Transportation Systems and Services Incorporated Company</w:t>
            </w:r>
          </w:p>
        </w:tc>
        <w:tc>
          <w:tcPr>
            <w:tcW w:w="4020" w:type="dxa"/>
            <w:vAlign w:val="bottom"/>
          </w:tcPr>
          <w:p>
            <w:pPr>
              <w:ind w:left="920"/>
              <w:spacing w:after="0"/>
              <w:rPr>
                <w:sz w:val="20"/>
                <w:szCs w:val="20"/>
                <w:color w:val="auto"/>
              </w:rPr>
            </w:pPr>
            <w:r>
              <w:rPr>
                <w:rFonts w:ascii="Arial" w:cs="Arial" w:eastAsia="Arial" w:hAnsi="Arial"/>
                <w:sz w:val="14"/>
                <w:szCs w:val="14"/>
                <w:color w:val="auto"/>
              </w:rPr>
              <w:t>Istanbul, Turkey</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TransTech of South Carolina, Inc.</w:t>
            </w:r>
          </w:p>
        </w:tc>
        <w:tc>
          <w:tcPr>
            <w:tcW w:w="4020" w:type="dxa"/>
            <w:vAlign w:val="bottom"/>
          </w:tcPr>
          <w:p>
            <w:pPr>
              <w:ind w:left="920"/>
              <w:spacing w:after="0"/>
              <w:rPr>
                <w:sz w:val="20"/>
                <w:szCs w:val="20"/>
                <w:color w:val="auto"/>
              </w:rPr>
            </w:pPr>
            <w:r>
              <w:rPr>
                <w:rFonts w:ascii="Arial" w:cs="Arial" w:eastAsia="Arial" w:hAnsi="Arial"/>
                <w:sz w:val="14"/>
                <w:szCs w:val="14"/>
                <w:color w:val="auto"/>
              </w:rPr>
              <w:t>Piedmont, South Carolina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TRSP Systems and Services Kenya Ltd.</w:t>
            </w:r>
          </w:p>
        </w:tc>
        <w:tc>
          <w:tcPr>
            <w:tcW w:w="4020" w:type="dxa"/>
            <w:vAlign w:val="bottom"/>
          </w:tcPr>
          <w:p>
            <w:pPr>
              <w:ind w:left="920"/>
              <w:spacing w:after="0"/>
              <w:rPr>
                <w:sz w:val="20"/>
                <w:szCs w:val="20"/>
                <w:color w:val="auto"/>
              </w:rPr>
            </w:pPr>
            <w:r>
              <w:rPr>
                <w:rFonts w:ascii="Arial" w:cs="Arial" w:eastAsia="Arial" w:hAnsi="Arial"/>
                <w:sz w:val="14"/>
                <w:szCs w:val="14"/>
                <w:color w:val="auto"/>
              </w:rPr>
              <w:t>Kenya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TRSP Systems (Malaysia) SDN. BHD</w:t>
            </w:r>
          </w:p>
        </w:tc>
        <w:tc>
          <w:tcPr>
            <w:tcW w:w="4020" w:type="dxa"/>
            <w:vAlign w:val="bottom"/>
          </w:tcPr>
          <w:p>
            <w:pPr>
              <w:ind w:left="920"/>
              <w:spacing w:after="0"/>
              <w:rPr>
                <w:sz w:val="20"/>
                <w:szCs w:val="20"/>
                <w:color w:val="auto"/>
              </w:rPr>
            </w:pPr>
            <w:r>
              <w:rPr>
                <w:rFonts w:ascii="Arial" w:cs="Arial" w:eastAsia="Arial" w:hAnsi="Arial"/>
                <w:sz w:val="14"/>
                <w:szCs w:val="14"/>
                <w:color w:val="auto"/>
              </w:rPr>
              <w:t>Malaysia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Turbonetics Holdings, Inc.</w:t>
            </w:r>
          </w:p>
        </w:tc>
        <w:tc>
          <w:tcPr>
            <w:tcW w:w="4020" w:type="dxa"/>
            <w:vAlign w:val="bottom"/>
          </w:tcPr>
          <w:p>
            <w:pPr>
              <w:ind w:left="920"/>
              <w:spacing w:after="0"/>
              <w:rPr>
                <w:sz w:val="20"/>
                <w:szCs w:val="20"/>
                <w:color w:val="auto"/>
              </w:rPr>
            </w:pPr>
            <w:r>
              <w:rPr>
                <w:rFonts w:ascii="Arial" w:cs="Arial" w:eastAsia="Arial" w:hAnsi="Arial"/>
                <w:sz w:val="14"/>
                <w:szCs w:val="14"/>
                <w:color w:val="auto"/>
              </w:rPr>
              <w:t>Moorpark, California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Vapor Europe S.r.l.</w:t>
            </w:r>
          </w:p>
        </w:tc>
        <w:tc>
          <w:tcPr>
            <w:tcW w:w="4020" w:type="dxa"/>
            <w:vAlign w:val="bottom"/>
          </w:tcPr>
          <w:p>
            <w:pPr>
              <w:ind w:left="920"/>
              <w:spacing w:after="0"/>
              <w:rPr>
                <w:sz w:val="20"/>
                <w:szCs w:val="20"/>
                <w:color w:val="auto"/>
              </w:rPr>
            </w:pPr>
            <w:r>
              <w:rPr>
                <w:rFonts w:ascii="Arial" w:cs="Arial" w:eastAsia="Arial" w:hAnsi="Arial"/>
                <w:sz w:val="14"/>
                <w:szCs w:val="14"/>
                <w:color w:val="auto"/>
              </w:rPr>
              <w:t>Sassuolo, Modena, Italy</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Vapor Ricon Europe Ltd.</w:t>
            </w:r>
          </w:p>
        </w:tc>
        <w:tc>
          <w:tcPr>
            <w:tcW w:w="4020" w:type="dxa"/>
            <w:vAlign w:val="bottom"/>
          </w:tcPr>
          <w:p>
            <w:pPr>
              <w:ind w:left="920"/>
              <w:spacing w:after="0"/>
              <w:rPr>
                <w:sz w:val="20"/>
                <w:szCs w:val="20"/>
                <w:color w:val="auto"/>
              </w:rPr>
            </w:pPr>
            <w:r>
              <w:rPr>
                <w:rFonts w:ascii="Arial" w:cs="Arial" w:eastAsia="Arial" w:hAnsi="Arial"/>
                <w:sz w:val="14"/>
                <w:szCs w:val="14"/>
                <w:color w:val="auto"/>
              </w:rPr>
              <w:t>Loughborough, Leicestershire, UK</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Assembly Services S. de R.L. de C.V.</w:t>
            </w:r>
          </w:p>
        </w:tc>
        <w:tc>
          <w:tcPr>
            <w:tcW w:w="4020" w:type="dxa"/>
            <w:vAlign w:val="bottom"/>
          </w:tcPr>
          <w:p>
            <w:pPr>
              <w:ind w:left="920"/>
              <w:spacing w:after="0"/>
              <w:rPr>
                <w:sz w:val="20"/>
                <w:szCs w:val="20"/>
                <w:color w:val="auto"/>
              </w:rPr>
            </w:pPr>
            <w:r>
              <w:rPr>
                <w:rFonts w:ascii="Arial" w:cs="Arial" w:eastAsia="Arial" w:hAnsi="Arial"/>
                <w:sz w:val="14"/>
                <w:szCs w:val="14"/>
                <w:color w:val="auto"/>
              </w:rPr>
              <w:t>San Luis Potosi, Mexico</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Australia Pty.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Rydalmere, Australia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(Beijing) Investment Co. Ltd.</w:t>
            </w:r>
          </w:p>
        </w:tc>
        <w:tc>
          <w:tcPr>
            <w:tcW w:w="4020" w:type="dxa"/>
            <w:vAlign w:val="bottom"/>
          </w:tcPr>
          <w:p>
            <w:pPr>
              <w:ind w:left="920"/>
              <w:spacing w:after="0"/>
              <w:rPr>
                <w:sz w:val="20"/>
                <w:szCs w:val="20"/>
                <w:color w:val="auto"/>
              </w:rPr>
            </w:pPr>
            <w:r>
              <w:rPr>
                <w:rFonts w:ascii="Arial" w:cs="Arial" w:eastAsia="Arial" w:hAnsi="Arial"/>
                <w:sz w:val="14"/>
                <w:szCs w:val="14"/>
                <w:color w:val="auto"/>
              </w:rPr>
              <w:t>Beijing, Fengtai District, China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Brasil Fabricacao e Manutencao de Equipamentos Ltda</w:t>
            </w:r>
          </w:p>
        </w:tc>
        <w:tc>
          <w:tcPr>
            <w:tcW w:w="4020" w:type="dxa"/>
            <w:vAlign w:val="bottom"/>
          </w:tcPr>
          <w:p>
            <w:pPr>
              <w:ind w:left="920"/>
              <w:spacing w:after="0"/>
              <w:rPr>
                <w:sz w:val="20"/>
                <w:szCs w:val="20"/>
                <w:color w:val="auto"/>
              </w:rPr>
            </w:pPr>
            <w:r>
              <w:rPr>
                <w:rFonts w:ascii="Arial" w:cs="Arial" w:eastAsia="Arial" w:hAnsi="Arial"/>
                <w:sz w:val="14"/>
                <w:szCs w:val="14"/>
                <w:color w:val="auto"/>
              </w:rPr>
              <w:t>Belo Horizonte, Brazil</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Corporation</w:t>
            </w:r>
          </w:p>
        </w:tc>
        <w:tc>
          <w:tcPr>
            <w:tcW w:w="4020" w:type="dxa"/>
            <w:vAlign w:val="bottom"/>
          </w:tcPr>
          <w:p>
            <w:pPr>
              <w:ind w:left="920"/>
              <w:spacing w:after="0"/>
              <w:rPr>
                <w:sz w:val="20"/>
                <w:szCs w:val="20"/>
                <w:color w:val="auto"/>
              </w:rPr>
            </w:pPr>
            <w:r>
              <w:rPr>
                <w:rFonts w:ascii="Arial" w:cs="Arial" w:eastAsia="Arial" w:hAnsi="Arial"/>
                <w:sz w:val="14"/>
                <w:szCs w:val="14"/>
                <w:color w:val="auto"/>
              </w:rPr>
              <w:t>Wilmerding, Pennsylvania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Canada, Inc.</w:t>
            </w:r>
          </w:p>
        </w:tc>
        <w:tc>
          <w:tcPr>
            <w:tcW w:w="4020" w:type="dxa"/>
            <w:vAlign w:val="bottom"/>
          </w:tcPr>
          <w:p>
            <w:pPr>
              <w:ind w:left="920"/>
              <w:spacing w:after="0"/>
              <w:rPr>
                <w:sz w:val="20"/>
                <w:szCs w:val="20"/>
                <w:color w:val="auto"/>
              </w:rPr>
            </w:pPr>
            <w:r>
              <w:rPr>
                <w:rFonts w:ascii="Arial" w:cs="Arial" w:eastAsia="Arial" w:hAnsi="Arial"/>
                <w:sz w:val="14"/>
                <w:szCs w:val="14"/>
                <w:color w:val="auto"/>
              </w:rPr>
              <w:t>Ontario, Canada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China Friction Holding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Hong Kong, China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China Rail Products &amp; Services Holding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Hong Kong, China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Control Systems Pty Ltd.</w:t>
            </w:r>
          </w:p>
        </w:tc>
        <w:tc>
          <w:tcPr>
            <w:tcW w:w="4020" w:type="dxa"/>
            <w:vAlign w:val="bottom"/>
          </w:tcPr>
          <w:p>
            <w:pPr>
              <w:ind w:left="920"/>
              <w:spacing w:after="0"/>
              <w:rPr>
                <w:sz w:val="20"/>
                <w:szCs w:val="20"/>
                <w:color w:val="auto"/>
              </w:rPr>
            </w:pPr>
            <w:r>
              <w:rPr>
                <w:rFonts w:ascii="Arial" w:cs="Arial" w:eastAsia="Arial" w:hAnsi="Arial"/>
                <w:sz w:val="14"/>
                <w:szCs w:val="14"/>
                <w:color w:val="auto"/>
              </w:rPr>
              <w:t>Osborne Park, Australia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de Mexico, S. de R.L. de C.V.</w:t>
            </w:r>
          </w:p>
        </w:tc>
        <w:tc>
          <w:tcPr>
            <w:tcW w:w="4020" w:type="dxa"/>
            <w:vAlign w:val="bottom"/>
          </w:tcPr>
          <w:p>
            <w:pPr>
              <w:ind w:left="920"/>
              <w:spacing w:after="0"/>
              <w:rPr>
                <w:sz w:val="20"/>
                <w:szCs w:val="20"/>
                <w:color w:val="auto"/>
              </w:rPr>
            </w:pPr>
            <w:r>
              <w:rPr>
                <w:rFonts w:ascii="Arial" w:cs="Arial" w:eastAsia="Arial" w:hAnsi="Arial"/>
                <w:sz w:val="14"/>
                <w:szCs w:val="14"/>
                <w:color w:val="auto"/>
              </w:rPr>
              <w:t>San Luis Potosi, Mexico</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Economic and Trading (Shanghai) Co., Ltd.</w:t>
            </w:r>
          </w:p>
        </w:tc>
        <w:tc>
          <w:tcPr>
            <w:tcW w:w="4020" w:type="dxa"/>
            <w:vAlign w:val="bottom"/>
          </w:tcPr>
          <w:p>
            <w:pPr>
              <w:ind w:left="920"/>
              <w:spacing w:after="0"/>
              <w:rPr>
                <w:sz w:val="20"/>
                <w:szCs w:val="20"/>
                <w:color w:val="auto"/>
              </w:rPr>
            </w:pPr>
            <w:r>
              <w:rPr>
                <w:rFonts w:ascii="Arial" w:cs="Arial" w:eastAsia="Arial" w:hAnsi="Arial"/>
                <w:sz w:val="14"/>
                <w:szCs w:val="14"/>
                <w:color w:val="auto"/>
              </w:rPr>
              <w:t>Shanghai, China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Equipamentos Ferroviarios Ltda.</w:t>
            </w:r>
          </w:p>
        </w:tc>
        <w:tc>
          <w:tcPr>
            <w:tcW w:w="4020" w:type="dxa"/>
            <w:vAlign w:val="bottom"/>
          </w:tcPr>
          <w:p>
            <w:pPr>
              <w:ind w:left="920"/>
              <w:spacing w:after="0"/>
              <w:rPr>
                <w:sz w:val="20"/>
                <w:szCs w:val="20"/>
                <w:color w:val="auto"/>
              </w:rPr>
            </w:pPr>
            <w:r>
              <w:rPr>
                <w:rFonts w:ascii="Arial" w:cs="Arial" w:eastAsia="Arial" w:hAnsi="Arial"/>
                <w:sz w:val="14"/>
                <w:szCs w:val="14"/>
                <w:color w:val="auto"/>
              </w:rPr>
              <w:t>Sao Paulo, Brazil</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Europe GmbH</w:t>
            </w:r>
          </w:p>
        </w:tc>
        <w:tc>
          <w:tcPr>
            <w:tcW w:w="4020" w:type="dxa"/>
            <w:vAlign w:val="bottom"/>
          </w:tcPr>
          <w:p>
            <w:pPr>
              <w:ind w:left="920"/>
              <w:spacing w:after="0"/>
              <w:rPr>
                <w:sz w:val="20"/>
                <w:szCs w:val="20"/>
                <w:color w:val="auto"/>
              </w:rPr>
            </w:pPr>
            <w:r>
              <w:rPr>
                <w:rFonts w:ascii="Arial" w:cs="Arial" w:eastAsia="Arial" w:hAnsi="Arial"/>
                <w:sz w:val="14"/>
                <w:szCs w:val="14"/>
                <w:color w:val="auto"/>
              </w:rPr>
              <w:t>Brunn am Gebirge, Austria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Fabricación y Servicios, S. de R.L. de C.V.</w:t>
            </w:r>
          </w:p>
        </w:tc>
        <w:tc>
          <w:tcPr>
            <w:tcW w:w="4020" w:type="dxa"/>
            <w:vAlign w:val="bottom"/>
          </w:tcPr>
          <w:p>
            <w:pPr>
              <w:ind w:left="920"/>
              <w:spacing w:after="0"/>
              <w:rPr>
                <w:sz w:val="20"/>
                <w:szCs w:val="20"/>
                <w:color w:val="auto"/>
              </w:rPr>
            </w:pPr>
            <w:r>
              <w:rPr>
                <w:rFonts w:ascii="Arial" w:cs="Arial" w:eastAsia="Arial" w:hAnsi="Arial"/>
                <w:sz w:val="14"/>
                <w:szCs w:val="14"/>
                <w:color w:val="auto"/>
              </w:rPr>
              <w:t>Apodaca, Mexico</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Faiveley Rayli Sistemleri Ltd. Sti</w:t>
            </w:r>
          </w:p>
        </w:tc>
        <w:tc>
          <w:tcPr>
            <w:tcW w:w="4020" w:type="dxa"/>
            <w:vAlign w:val="bottom"/>
          </w:tcPr>
          <w:p>
            <w:pPr>
              <w:ind w:left="920"/>
              <w:spacing w:after="0"/>
              <w:rPr>
                <w:sz w:val="20"/>
                <w:szCs w:val="20"/>
                <w:color w:val="auto"/>
              </w:rPr>
            </w:pPr>
            <w:r>
              <w:rPr>
                <w:rFonts w:ascii="Arial" w:cs="Arial" w:eastAsia="Arial" w:hAnsi="Arial"/>
                <w:sz w:val="14"/>
                <w:szCs w:val="14"/>
                <w:color w:val="auto"/>
              </w:rPr>
              <w:t>Istanbul, Turkey</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Finance SRL</w:t>
            </w:r>
          </w:p>
        </w:tc>
        <w:tc>
          <w:tcPr>
            <w:tcW w:w="4020" w:type="dxa"/>
            <w:vAlign w:val="bottom"/>
          </w:tcPr>
          <w:p>
            <w:pPr>
              <w:ind w:left="920"/>
              <w:spacing w:after="0"/>
              <w:rPr>
                <w:sz w:val="20"/>
                <w:szCs w:val="20"/>
                <w:color w:val="auto"/>
              </w:rPr>
            </w:pPr>
            <w:r>
              <w:rPr>
                <w:rFonts w:ascii="Arial" w:cs="Arial" w:eastAsia="Arial" w:hAnsi="Arial"/>
                <w:sz w:val="14"/>
                <w:szCs w:val="14"/>
                <w:color w:val="auto"/>
              </w:rPr>
              <w:t>St. Michael, Barbados</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France S.A.S.</w:t>
            </w:r>
          </w:p>
        </w:tc>
        <w:tc>
          <w:tcPr>
            <w:tcW w:w="4020" w:type="dxa"/>
            <w:vAlign w:val="bottom"/>
          </w:tcPr>
          <w:p>
            <w:pPr>
              <w:ind w:left="920"/>
              <w:spacing w:after="0"/>
              <w:rPr>
                <w:sz w:val="20"/>
                <w:szCs w:val="20"/>
                <w:color w:val="auto"/>
              </w:rPr>
            </w:pPr>
            <w:r>
              <w:rPr>
                <w:rFonts w:ascii="Arial" w:cs="Arial" w:eastAsia="Arial" w:hAnsi="Arial"/>
                <w:sz w:val="14"/>
                <w:szCs w:val="14"/>
                <w:color w:val="auto"/>
              </w:rPr>
              <w:t>Paris, France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FRG GmbH</w:t>
            </w:r>
          </w:p>
        </w:tc>
        <w:tc>
          <w:tcPr>
            <w:tcW w:w="4020" w:type="dxa"/>
            <w:vAlign w:val="bottom"/>
          </w:tcPr>
          <w:p>
            <w:pPr>
              <w:ind w:left="920"/>
              <w:spacing w:after="0"/>
              <w:rPr>
                <w:sz w:val="20"/>
                <w:szCs w:val="20"/>
                <w:color w:val="auto"/>
              </w:rPr>
            </w:pPr>
            <w:r>
              <w:rPr>
                <w:rFonts w:ascii="Arial" w:cs="Arial" w:eastAsia="Arial" w:hAnsi="Arial"/>
                <w:sz w:val="14"/>
                <w:szCs w:val="14"/>
                <w:color w:val="auto"/>
              </w:rPr>
              <w:t>Recklinghausen, Germany</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FRG Holdings GmbH &amp; Co. KG</w:t>
            </w:r>
          </w:p>
        </w:tc>
        <w:tc>
          <w:tcPr>
            <w:tcW w:w="4020" w:type="dxa"/>
            <w:vAlign w:val="bottom"/>
          </w:tcPr>
          <w:p>
            <w:pPr>
              <w:ind w:left="920"/>
              <w:spacing w:after="0"/>
              <w:rPr>
                <w:sz w:val="20"/>
                <w:szCs w:val="20"/>
                <w:color w:val="auto"/>
              </w:rPr>
            </w:pPr>
            <w:r>
              <w:rPr>
                <w:rFonts w:ascii="Arial" w:cs="Arial" w:eastAsia="Arial" w:hAnsi="Arial"/>
                <w:sz w:val="14"/>
                <w:szCs w:val="14"/>
                <w:color w:val="auto"/>
              </w:rPr>
              <w:t>Recklinghausen, Germany</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Finance LLC</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Golden Bridge Transportation Technology (Hangzhou) Company, Ltd.</w:t>
            </w:r>
          </w:p>
        </w:tc>
        <w:tc>
          <w:tcPr>
            <w:tcW w:w="4020" w:type="dxa"/>
            <w:vAlign w:val="bottom"/>
          </w:tcPr>
          <w:p>
            <w:pPr>
              <w:ind w:left="920"/>
              <w:spacing w:after="0"/>
              <w:rPr>
                <w:sz w:val="20"/>
                <w:szCs w:val="20"/>
                <w:color w:val="auto"/>
              </w:rPr>
            </w:pPr>
            <w:r>
              <w:rPr>
                <w:rFonts w:ascii="Arial" w:cs="Arial" w:eastAsia="Arial" w:hAnsi="Arial"/>
                <w:sz w:val="14"/>
                <w:szCs w:val="14"/>
                <w:color w:val="auto"/>
              </w:rPr>
              <w:t>Xinwan Town. China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Greenville Real Estate LLC</w:t>
            </w:r>
          </w:p>
        </w:tc>
        <w:tc>
          <w:tcPr>
            <w:tcW w:w="4020" w:type="dxa"/>
            <w:vAlign w:val="bottom"/>
          </w:tcPr>
          <w:p>
            <w:pPr>
              <w:ind w:left="920"/>
              <w:spacing w:after="0"/>
              <w:rPr>
                <w:sz w:val="20"/>
                <w:szCs w:val="20"/>
                <w:color w:val="auto"/>
              </w:rPr>
            </w:pPr>
            <w:r>
              <w:rPr>
                <w:rFonts w:ascii="Arial" w:cs="Arial" w:eastAsia="Arial" w:hAnsi="Arial"/>
                <w:sz w:val="14"/>
                <w:szCs w:val="14"/>
                <w:color w:val="auto"/>
              </w:rPr>
              <w:t>Greenville, South Carolina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Holding Corp</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India Transportation Private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Kolkata, India</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International, Inc.</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Investments Limited LLC</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Ireland Limited</w:t>
            </w:r>
          </w:p>
        </w:tc>
        <w:tc>
          <w:tcPr>
            <w:tcW w:w="4020" w:type="dxa"/>
            <w:vAlign w:val="bottom"/>
          </w:tcPr>
          <w:p>
            <w:pPr>
              <w:ind w:left="920"/>
              <w:spacing w:after="0"/>
              <w:rPr>
                <w:sz w:val="20"/>
                <w:szCs w:val="20"/>
                <w:color w:val="auto"/>
              </w:rPr>
            </w:pPr>
            <w:r>
              <w:rPr>
                <w:rFonts w:ascii="Arial" w:cs="Arial" w:eastAsia="Arial" w:hAnsi="Arial"/>
                <w:sz w:val="14"/>
                <w:szCs w:val="14"/>
                <w:color w:val="auto"/>
              </w:rPr>
              <w:t>Dublin, Ireland</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Locomotive Services Noreste, S.A. de C.V.</w:t>
            </w:r>
          </w:p>
        </w:tc>
        <w:tc>
          <w:tcPr>
            <w:tcW w:w="4020" w:type="dxa"/>
            <w:vAlign w:val="bottom"/>
          </w:tcPr>
          <w:p>
            <w:pPr>
              <w:ind w:left="920"/>
              <w:spacing w:after="0"/>
              <w:rPr>
                <w:sz w:val="20"/>
                <w:szCs w:val="20"/>
                <w:color w:val="auto"/>
              </w:rPr>
            </w:pPr>
            <w:r>
              <w:rPr>
                <w:rFonts w:ascii="Arial" w:cs="Arial" w:eastAsia="Arial" w:hAnsi="Arial"/>
                <w:sz w:val="14"/>
                <w:szCs w:val="14"/>
                <w:color w:val="auto"/>
              </w:rPr>
              <w:t>San Luis Potosi, Mexico</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Luxembourg, S.a r.l.</w:t>
            </w:r>
          </w:p>
        </w:tc>
        <w:tc>
          <w:tcPr>
            <w:tcW w:w="4020" w:type="dxa"/>
            <w:vAlign w:val="bottom"/>
          </w:tcPr>
          <w:p>
            <w:pPr>
              <w:ind w:left="920"/>
              <w:spacing w:after="0"/>
              <w:rPr>
                <w:sz w:val="20"/>
                <w:szCs w:val="20"/>
                <w:color w:val="auto"/>
              </w:rPr>
            </w:pPr>
            <w:r>
              <w:rPr>
                <w:rFonts w:ascii="Arial" w:cs="Arial" w:eastAsia="Arial" w:hAnsi="Arial"/>
                <w:sz w:val="14"/>
                <w:szCs w:val="14"/>
                <w:color w:val="auto"/>
              </w:rPr>
              <w:t>Luxembourg</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Manufacturing, LLC</w:t>
            </w:r>
          </w:p>
        </w:tc>
        <w:tc>
          <w:tcPr>
            <w:tcW w:w="4020" w:type="dxa"/>
            <w:vAlign w:val="bottom"/>
          </w:tcPr>
          <w:p>
            <w:pPr>
              <w:ind w:left="920"/>
              <w:spacing w:after="0"/>
              <w:rPr>
                <w:sz w:val="20"/>
                <w:szCs w:val="20"/>
                <w:color w:val="auto"/>
              </w:rPr>
            </w:pPr>
            <w:r>
              <w:rPr>
                <w:rFonts w:ascii="Arial" w:cs="Arial" w:eastAsia="Arial" w:hAnsi="Arial"/>
                <w:sz w:val="14"/>
                <w:szCs w:val="14"/>
                <w:color w:val="auto"/>
              </w:rPr>
              <w:t>Wilmington, Delaware</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720" w:type="dxa"/>
            <w:vAlign w:val="bottom"/>
          </w:tcPr>
          <w:p>
            <w:pPr>
              <w:spacing w:after="0"/>
              <w:rPr>
                <w:sz w:val="20"/>
                <w:szCs w:val="20"/>
                <w:color w:val="auto"/>
              </w:rPr>
            </w:pPr>
            <w:r>
              <w:rPr>
                <w:rFonts w:ascii="Arial" w:cs="Arial" w:eastAsia="Arial" w:hAnsi="Arial"/>
                <w:sz w:val="14"/>
                <w:szCs w:val="14"/>
                <w:color w:val="auto"/>
              </w:rPr>
              <w:t>Wabtec Manufacturing Mexico S. de R.L. de C.V.</w:t>
            </w:r>
          </w:p>
        </w:tc>
        <w:tc>
          <w:tcPr>
            <w:tcW w:w="4020" w:type="dxa"/>
            <w:vAlign w:val="bottom"/>
          </w:tcPr>
          <w:p>
            <w:pPr>
              <w:ind w:left="920"/>
              <w:spacing w:after="0"/>
              <w:rPr>
                <w:sz w:val="20"/>
                <w:szCs w:val="20"/>
                <w:color w:val="auto"/>
              </w:rPr>
            </w:pPr>
            <w:r>
              <w:rPr>
                <w:rFonts w:ascii="Arial" w:cs="Arial" w:eastAsia="Arial" w:hAnsi="Arial"/>
                <w:sz w:val="14"/>
                <w:szCs w:val="14"/>
                <w:color w:val="auto"/>
              </w:rPr>
              <w:t>San Luis Potosí, Mexico</w:t>
            </w:r>
          </w:p>
        </w:tc>
        <w:tc>
          <w:tcPr>
            <w:tcW w:w="146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00"/>
          </w:cols>
          <w:pgMar w:left="340" w:top="1440" w:right="359" w:bottom="1440" w:gutter="0" w:footer="0" w:header="0"/>
        </w:sectPr>
      </w:pPr>
    </w:p>
    <w:bookmarkStart w:id="108" w:name="page109"/>
    <w:bookmarkEnd w:id="10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Wabtec Manufacturing Solutions,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Mozambique Limitada</w:t>
            </w:r>
          </w:p>
        </w:tc>
        <w:tc>
          <w:tcPr>
            <w:tcW w:w="4780" w:type="dxa"/>
            <w:vAlign w:val="bottom"/>
          </w:tcPr>
          <w:p>
            <w:pPr>
              <w:ind w:left="1840"/>
              <w:spacing w:after="0"/>
              <w:rPr>
                <w:sz w:val="20"/>
                <w:szCs w:val="20"/>
                <w:color w:val="auto"/>
              </w:rPr>
            </w:pPr>
            <w:r>
              <w:rPr>
                <w:rFonts w:ascii="Arial" w:cs="Arial" w:eastAsia="Arial" w:hAnsi="Arial"/>
                <w:sz w:val="14"/>
                <w:szCs w:val="14"/>
                <w:color w:val="auto"/>
              </w:rPr>
              <w:t>Nacala, Mozambique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MZT AD Skopje</w:t>
            </w:r>
          </w:p>
        </w:tc>
        <w:tc>
          <w:tcPr>
            <w:tcW w:w="4780" w:type="dxa"/>
            <w:vAlign w:val="bottom"/>
          </w:tcPr>
          <w:p>
            <w:pPr>
              <w:ind w:left="1840"/>
              <w:spacing w:after="0"/>
              <w:rPr>
                <w:sz w:val="20"/>
                <w:szCs w:val="20"/>
                <w:color w:val="auto"/>
              </w:rPr>
            </w:pPr>
            <w:r>
              <w:rPr>
                <w:rFonts w:ascii="Arial" w:cs="Arial" w:eastAsia="Arial" w:hAnsi="Arial"/>
                <w:sz w:val="14"/>
                <w:szCs w:val="14"/>
                <w:color w:val="auto"/>
              </w:rPr>
              <w:t>Skopje, Macedonia</w:t>
            </w:r>
          </w:p>
        </w:tc>
        <w:tc>
          <w:tcPr>
            <w:tcW w:w="162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Poland Sp. z.o.o.</w:t>
            </w:r>
          </w:p>
        </w:tc>
        <w:tc>
          <w:tcPr>
            <w:tcW w:w="4780" w:type="dxa"/>
            <w:vAlign w:val="bottom"/>
          </w:tcPr>
          <w:p>
            <w:pPr>
              <w:ind w:left="1840"/>
              <w:spacing w:after="0"/>
              <w:rPr>
                <w:sz w:val="20"/>
                <w:szCs w:val="20"/>
                <w:color w:val="auto"/>
              </w:rPr>
            </w:pPr>
            <w:r>
              <w:rPr>
                <w:rFonts w:ascii="Arial" w:cs="Arial" w:eastAsia="Arial" w:hAnsi="Arial"/>
                <w:sz w:val="14"/>
                <w:szCs w:val="14"/>
                <w:color w:val="auto"/>
              </w:rPr>
              <w:t>Poznan, Poland</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Netherlands BV</w:t>
            </w:r>
          </w:p>
        </w:tc>
        <w:tc>
          <w:tcPr>
            <w:tcW w:w="4780" w:type="dxa"/>
            <w:vAlign w:val="bottom"/>
          </w:tcPr>
          <w:p>
            <w:pPr>
              <w:ind w:left="1840"/>
              <w:spacing w:after="0"/>
              <w:rPr>
                <w:sz w:val="20"/>
                <w:szCs w:val="20"/>
                <w:color w:val="auto"/>
              </w:rPr>
            </w:pPr>
            <w:r>
              <w:rPr>
                <w:rFonts w:ascii="Arial" w:cs="Arial" w:eastAsia="Arial" w:hAnsi="Arial"/>
                <w:sz w:val="14"/>
                <w:szCs w:val="14"/>
                <w:color w:val="auto"/>
              </w:rPr>
              <w:t>Amsterdam, Netherlands</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Netherlands Holdings BV</w:t>
            </w:r>
          </w:p>
        </w:tc>
        <w:tc>
          <w:tcPr>
            <w:tcW w:w="4780" w:type="dxa"/>
            <w:vAlign w:val="bottom"/>
          </w:tcPr>
          <w:p>
            <w:pPr>
              <w:ind w:left="1840"/>
              <w:spacing w:after="0"/>
              <w:rPr>
                <w:sz w:val="20"/>
                <w:szCs w:val="20"/>
                <w:color w:val="auto"/>
              </w:rPr>
            </w:pPr>
            <w:r>
              <w:rPr>
                <w:rFonts w:ascii="Arial" w:cs="Arial" w:eastAsia="Arial" w:hAnsi="Arial"/>
                <w:sz w:val="14"/>
                <w:szCs w:val="14"/>
                <w:color w:val="auto"/>
              </w:rPr>
              <w:t>Amsterdam, Netherlands</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Rail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Doncaster, S.Yorkshire, UK</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Railway Electronics Corporation</w:t>
            </w:r>
          </w:p>
        </w:tc>
        <w:tc>
          <w:tcPr>
            <w:tcW w:w="4780" w:type="dxa"/>
            <w:vAlign w:val="bottom"/>
          </w:tcPr>
          <w:p>
            <w:pPr>
              <w:ind w:left="1840"/>
              <w:spacing w:after="0"/>
              <w:rPr>
                <w:sz w:val="20"/>
                <w:szCs w:val="20"/>
                <w:color w:val="auto"/>
              </w:rPr>
            </w:pPr>
            <w:r>
              <w:rPr>
                <w:rFonts w:ascii="Arial" w:cs="Arial" w:eastAsia="Arial" w:hAnsi="Arial"/>
                <w:sz w:val="14"/>
                <w:szCs w:val="14"/>
                <w:color w:val="auto"/>
              </w:rPr>
              <w:t>Halifax, Nova Scotia, Canada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Railway Electronics Holdings,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Railway Electronics Manufacturing, Inc.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Railway Electronics, Inc.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Receivables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Rus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Moscow, Russia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Servicios Administrativos, S.A. de C.V.</w:t>
            </w:r>
          </w:p>
        </w:tc>
        <w:tc>
          <w:tcPr>
            <w:tcW w:w="4780" w:type="dxa"/>
            <w:vAlign w:val="bottom"/>
          </w:tcPr>
          <w:p>
            <w:pPr>
              <w:ind w:left="1840"/>
              <w:spacing w:after="0"/>
              <w:rPr>
                <w:sz w:val="20"/>
                <w:szCs w:val="20"/>
                <w:color w:val="auto"/>
              </w:rPr>
            </w:pPr>
            <w:r>
              <w:rPr>
                <w:rFonts w:ascii="Arial" w:cs="Arial" w:eastAsia="Arial" w:hAnsi="Arial"/>
                <w:sz w:val="14"/>
                <w:szCs w:val="14"/>
                <w:color w:val="auto"/>
              </w:rPr>
              <w:t>San Luis Potosi, Mexico</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South Africa Proprietary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Kempton Park, South Africa</w:t>
            </w:r>
          </w:p>
        </w:tc>
        <w:tc>
          <w:tcPr>
            <w:tcW w:w="162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South Africa Technologies (Pty) Ltd.</w:t>
            </w:r>
          </w:p>
        </w:tc>
        <w:tc>
          <w:tcPr>
            <w:tcW w:w="4780" w:type="dxa"/>
            <w:vAlign w:val="bottom"/>
          </w:tcPr>
          <w:p>
            <w:pPr>
              <w:ind w:left="1840"/>
              <w:spacing w:after="0"/>
              <w:rPr>
                <w:sz w:val="20"/>
                <w:szCs w:val="20"/>
                <w:color w:val="auto"/>
              </w:rPr>
            </w:pPr>
            <w:r>
              <w:rPr>
                <w:rFonts w:ascii="Arial" w:cs="Arial" w:eastAsia="Arial" w:hAnsi="Arial"/>
                <w:sz w:val="14"/>
                <w:szCs w:val="14"/>
                <w:color w:val="auto"/>
              </w:rPr>
              <w:t>Johannesburg, South Africa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Texmaco Rail Private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Kolkata, India</w:t>
            </w:r>
          </w:p>
        </w:tc>
        <w:tc>
          <w:tcPr>
            <w:tcW w:w="162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Canada Inc.</w:t>
            </w:r>
          </w:p>
        </w:tc>
        <w:tc>
          <w:tcPr>
            <w:tcW w:w="4780" w:type="dxa"/>
            <w:vAlign w:val="bottom"/>
          </w:tcPr>
          <w:p>
            <w:pPr>
              <w:ind w:left="1840"/>
              <w:spacing w:after="0"/>
              <w:rPr>
                <w:sz w:val="20"/>
                <w:szCs w:val="20"/>
                <w:color w:val="auto"/>
              </w:rPr>
            </w:pPr>
            <w:r>
              <w:rPr>
                <w:rFonts w:ascii="Arial" w:cs="Arial" w:eastAsia="Arial" w:hAnsi="Arial"/>
                <w:sz w:val="14"/>
                <w:szCs w:val="14"/>
                <w:color w:val="auto"/>
              </w:rPr>
              <w:t>Ontario, Canada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Egypt Services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New Cairo, Egypt</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Engines Holding B.V.</w:t>
            </w:r>
          </w:p>
        </w:tc>
        <w:tc>
          <w:tcPr>
            <w:tcW w:w="4780" w:type="dxa"/>
            <w:vAlign w:val="bottom"/>
          </w:tcPr>
          <w:p>
            <w:pPr>
              <w:ind w:left="1840"/>
              <w:spacing w:after="0"/>
              <w:rPr>
                <w:sz w:val="20"/>
                <w:szCs w:val="20"/>
                <w:color w:val="auto"/>
              </w:rPr>
            </w:pPr>
            <w:r>
              <w:rPr>
                <w:rFonts w:ascii="Arial" w:cs="Arial" w:eastAsia="Arial" w:hAnsi="Arial"/>
                <w:sz w:val="14"/>
                <w:szCs w:val="14"/>
                <w:color w:val="auto"/>
              </w:rPr>
              <w:t>Breda, Netherlands</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Global Holdings,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Group Holdings Pty Ltd.</w:t>
            </w:r>
          </w:p>
        </w:tc>
        <w:tc>
          <w:tcPr>
            <w:tcW w:w="4780" w:type="dxa"/>
            <w:vAlign w:val="bottom"/>
          </w:tcPr>
          <w:p>
            <w:pPr>
              <w:ind w:left="1840"/>
              <w:spacing w:after="0"/>
              <w:rPr>
                <w:sz w:val="20"/>
                <w:szCs w:val="20"/>
                <w:color w:val="auto"/>
              </w:rPr>
            </w:pPr>
            <w:r>
              <w:rPr>
                <w:rFonts w:ascii="Arial" w:cs="Arial" w:eastAsia="Arial" w:hAnsi="Arial"/>
                <w:sz w:val="14"/>
                <w:szCs w:val="14"/>
                <w:color w:val="auto"/>
              </w:rPr>
              <w:t>Richmond, Australia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Ireland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Dublin, Ireland</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Netherlands B.V.</w:t>
            </w:r>
          </w:p>
        </w:tc>
        <w:tc>
          <w:tcPr>
            <w:tcW w:w="4780" w:type="dxa"/>
            <w:vAlign w:val="bottom"/>
          </w:tcPr>
          <w:p>
            <w:pPr>
              <w:ind w:left="1840"/>
              <w:spacing w:after="0"/>
              <w:rPr>
                <w:sz w:val="20"/>
                <w:szCs w:val="20"/>
                <w:color w:val="auto"/>
              </w:rPr>
            </w:pPr>
            <w:r>
              <w:rPr>
                <w:rFonts w:ascii="Arial" w:cs="Arial" w:eastAsia="Arial" w:hAnsi="Arial"/>
                <w:sz w:val="14"/>
                <w:szCs w:val="14"/>
                <w:color w:val="auto"/>
              </w:rPr>
              <w:t>Amsterdam, Netherlands</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Netherlands Holdings B.V.</w:t>
            </w:r>
          </w:p>
        </w:tc>
        <w:tc>
          <w:tcPr>
            <w:tcW w:w="4780" w:type="dxa"/>
            <w:vAlign w:val="bottom"/>
          </w:tcPr>
          <w:p>
            <w:pPr>
              <w:ind w:left="1840"/>
              <w:spacing w:after="0"/>
              <w:rPr>
                <w:sz w:val="20"/>
                <w:szCs w:val="20"/>
                <w:color w:val="auto"/>
              </w:rPr>
            </w:pPr>
            <w:r>
              <w:rPr>
                <w:rFonts w:ascii="Arial" w:cs="Arial" w:eastAsia="Arial" w:hAnsi="Arial"/>
                <w:sz w:val="14"/>
                <w:szCs w:val="14"/>
                <w:color w:val="auto"/>
              </w:rPr>
              <w:t>Amsterdam, Netherlands</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System (Shenyang) Co. Ltd.</w:t>
            </w:r>
          </w:p>
        </w:tc>
        <w:tc>
          <w:tcPr>
            <w:tcW w:w="4780" w:type="dxa"/>
            <w:vAlign w:val="bottom"/>
          </w:tcPr>
          <w:p>
            <w:pPr>
              <w:ind w:left="1840"/>
              <w:spacing w:after="0"/>
              <w:rPr>
                <w:sz w:val="20"/>
                <w:szCs w:val="20"/>
                <w:color w:val="auto"/>
              </w:rPr>
            </w:pPr>
            <w:r>
              <w:rPr>
                <w:rFonts w:ascii="Arial" w:cs="Arial" w:eastAsia="Arial" w:hAnsi="Arial"/>
                <w:sz w:val="14"/>
                <w:szCs w:val="14"/>
                <w:color w:val="auto"/>
              </w:rPr>
              <w:t>Shenyang, China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Systems Co. Ltd.</w:t>
            </w:r>
          </w:p>
        </w:tc>
        <w:tc>
          <w:tcPr>
            <w:tcW w:w="4780" w:type="dxa"/>
            <w:vAlign w:val="bottom"/>
          </w:tcPr>
          <w:p>
            <w:pPr>
              <w:ind w:left="1840"/>
              <w:spacing w:after="0"/>
              <w:rPr>
                <w:sz w:val="20"/>
                <w:szCs w:val="20"/>
                <w:color w:val="auto"/>
              </w:rPr>
            </w:pPr>
            <w:r>
              <w:rPr>
                <w:rFonts w:ascii="Arial" w:cs="Arial" w:eastAsia="Arial" w:hAnsi="Arial"/>
                <w:sz w:val="14"/>
                <w:szCs w:val="14"/>
                <w:color w:val="auto"/>
              </w:rPr>
              <w:t>Beijing, China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Systems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Altrincham, England</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Transportation Systems, LLC.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UK Holdings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Staffordshire, England</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UK Investments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Manchester, England</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UK Manufacturing Limited</w:t>
            </w:r>
          </w:p>
        </w:tc>
        <w:tc>
          <w:tcPr>
            <w:tcW w:w="4780" w:type="dxa"/>
            <w:vAlign w:val="bottom"/>
          </w:tcPr>
          <w:p>
            <w:pPr>
              <w:ind w:left="1840"/>
              <w:spacing w:after="0"/>
              <w:rPr>
                <w:sz w:val="20"/>
                <w:szCs w:val="20"/>
                <w:color w:val="auto"/>
              </w:rPr>
            </w:pPr>
            <w:r>
              <w:rPr>
                <w:rFonts w:ascii="Arial" w:cs="Arial" w:eastAsia="Arial" w:hAnsi="Arial"/>
                <w:sz w:val="14"/>
                <w:szCs w:val="14"/>
                <w:color w:val="auto"/>
              </w:rPr>
              <w:t>Burton-on-Trent, UK</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US Rail Holdings, Inc.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 US Rail, Inc.</w:t>
            </w:r>
          </w:p>
        </w:tc>
        <w:tc>
          <w:tcPr>
            <w:tcW w:w="4780" w:type="dxa"/>
            <w:vAlign w:val="bottom"/>
          </w:tcPr>
          <w:p>
            <w:pPr>
              <w:ind w:left="1840"/>
              <w:spacing w:after="0"/>
              <w:rPr>
                <w:sz w:val="20"/>
                <w:szCs w:val="20"/>
                <w:color w:val="auto"/>
              </w:rPr>
            </w:pPr>
            <w:r>
              <w:rPr>
                <w:rFonts w:ascii="Arial" w:cs="Arial" w:eastAsia="Arial" w:hAnsi="Arial"/>
                <w:sz w:val="14"/>
                <w:szCs w:val="14"/>
                <w:color w:val="auto"/>
              </w:rPr>
              <w:t>Wilmington, Delaware</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Wabtec-UWC Ltd.</w:t>
            </w:r>
          </w:p>
        </w:tc>
        <w:tc>
          <w:tcPr>
            <w:tcW w:w="4780" w:type="dxa"/>
            <w:vAlign w:val="bottom"/>
          </w:tcPr>
          <w:p>
            <w:pPr>
              <w:ind w:left="1840"/>
              <w:spacing w:after="0"/>
              <w:rPr>
                <w:sz w:val="20"/>
                <w:szCs w:val="20"/>
                <w:color w:val="auto"/>
              </w:rPr>
            </w:pPr>
            <w:r>
              <w:rPr>
                <w:rFonts w:ascii="Arial" w:cs="Arial" w:eastAsia="Arial" w:hAnsi="Arial"/>
                <w:sz w:val="14"/>
                <w:szCs w:val="14"/>
                <w:color w:val="auto"/>
              </w:rPr>
              <w:t>Limassol, Cyprus</w:t>
            </w:r>
          </w:p>
        </w:tc>
        <w:tc>
          <w:tcPr>
            <w:tcW w:w="162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Westinghouse Railway Holdings (Canada) Inc.</w:t>
            </w:r>
          </w:p>
        </w:tc>
        <w:tc>
          <w:tcPr>
            <w:tcW w:w="4780" w:type="dxa"/>
            <w:vAlign w:val="bottom"/>
          </w:tcPr>
          <w:p>
            <w:pPr>
              <w:ind w:left="1840"/>
              <w:spacing w:after="0"/>
              <w:rPr>
                <w:sz w:val="20"/>
                <w:szCs w:val="20"/>
                <w:color w:val="auto"/>
              </w:rPr>
            </w:pPr>
            <w:r>
              <w:rPr>
                <w:rFonts w:ascii="Arial" w:cs="Arial" w:eastAsia="Arial" w:hAnsi="Arial"/>
                <w:sz w:val="14"/>
                <w:szCs w:val="14"/>
                <w:color w:val="auto"/>
              </w:rPr>
              <w:t>Toronto, Ontario, Canada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Wilmerding International Holdings C.V.</w:t>
            </w:r>
          </w:p>
        </w:tc>
        <w:tc>
          <w:tcPr>
            <w:tcW w:w="4780" w:type="dxa"/>
            <w:vAlign w:val="bottom"/>
          </w:tcPr>
          <w:p>
            <w:pPr>
              <w:ind w:left="1840"/>
              <w:spacing w:after="0"/>
              <w:rPr>
                <w:sz w:val="20"/>
                <w:szCs w:val="20"/>
                <w:color w:val="auto"/>
              </w:rPr>
            </w:pPr>
            <w:r>
              <w:rPr>
                <w:rFonts w:ascii="Arial" w:cs="Arial" w:eastAsia="Arial" w:hAnsi="Arial"/>
                <w:sz w:val="14"/>
                <w:szCs w:val="14"/>
                <w:color w:val="auto"/>
              </w:rPr>
              <w:t>Amsterdam, Netherlands</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Workhorse Holdings Corp</w:t>
            </w:r>
          </w:p>
        </w:tc>
        <w:tc>
          <w:tcPr>
            <w:tcW w:w="4780" w:type="dxa"/>
            <w:vAlign w:val="bottom"/>
          </w:tcPr>
          <w:p>
            <w:pPr>
              <w:ind w:left="1840"/>
              <w:spacing w:after="0"/>
              <w:rPr>
                <w:sz w:val="20"/>
                <w:szCs w:val="20"/>
                <w:color w:val="auto"/>
              </w:rPr>
            </w:pPr>
            <w:r>
              <w:rPr>
                <w:rFonts w:ascii="Arial" w:cs="Arial" w:eastAsia="Arial" w:hAnsi="Arial"/>
                <w:sz w:val="14"/>
                <w:szCs w:val="14"/>
                <w:color w:val="auto"/>
              </w:rPr>
              <w:t>Indianapolis, Indiana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Workhorse Rail, LLC</w:t>
            </w:r>
          </w:p>
        </w:tc>
        <w:tc>
          <w:tcPr>
            <w:tcW w:w="4780" w:type="dxa"/>
            <w:vAlign w:val="bottom"/>
          </w:tcPr>
          <w:p>
            <w:pPr>
              <w:ind w:left="1840"/>
              <w:spacing w:after="0"/>
              <w:rPr>
                <w:sz w:val="20"/>
                <w:szCs w:val="20"/>
                <w:color w:val="auto"/>
              </w:rPr>
            </w:pPr>
            <w:r>
              <w:rPr>
                <w:rFonts w:ascii="Arial" w:cs="Arial" w:eastAsia="Arial" w:hAnsi="Arial"/>
                <w:sz w:val="14"/>
                <w:szCs w:val="14"/>
                <w:color w:val="auto"/>
              </w:rPr>
              <w:t>Pittsburgh, Pennsylvania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Xorail, Inc.</w:t>
            </w:r>
          </w:p>
        </w:tc>
        <w:tc>
          <w:tcPr>
            <w:tcW w:w="4780" w:type="dxa"/>
            <w:vAlign w:val="bottom"/>
          </w:tcPr>
          <w:p>
            <w:pPr>
              <w:ind w:left="1840"/>
              <w:spacing w:after="0"/>
              <w:rPr>
                <w:sz w:val="20"/>
                <w:szCs w:val="20"/>
                <w:color w:val="auto"/>
              </w:rPr>
            </w:pPr>
            <w:r>
              <w:rPr>
                <w:rFonts w:ascii="Arial" w:cs="Arial" w:eastAsia="Arial" w:hAnsi="Arial"/>
                <w:sz w:val="14"/>
                <w:szCs w:val="14"/>
                <w:color w:val="auto"/>
              </w:rPr>
              <w:t>Jacksonville, Florida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Young Touchstone Company</w:t>
            </w:r>
          </w:p>
        </w:tc>
        <w:tc>
          <w:tcPr>
            <w:tcW w:w="4780" w:type="dxa"/>
            <w:vAlign w:val="bottom"/>
          </w:tcPr>
          <w:p>
            <w:pPr>
              <w:ind w:left="1840"/>
              <w:spacing w:after="0"/>
              <w:rPr>
                <w:sz w:val="20"/>
                <w:szCs w:val="20"/>
                <w:color w:val="auto"/>
              </w:rPr>
            </w:pPr>
            <w:r>
              <w:rPr>
                <w:rFonts w:ascii="Arial" w:cs="Arial" w:eastAsia="Arial" w:hAnsi="Arial"/>
                <w:sz w:val="14"/>
                <w:szCs w:val="14"/>
                <w:color w:val="auto"/>
              </w:rPr>
              <w:t>Oak Creek, Wisconsin</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Zhongshan MorsSmitt Relay Ltd.</w:t>
            </w:r>
          </w:p>
        </w:tc>
        <w:tc>
          <w:tcPr>
            <w:tcW w:w="4780" w:type="dxa"/>
            <w:vAlign w:val="bottom"/>
          </w:tcPr>
          <w:p>
            <w:pPr>
              <w:ind w:left="1840"/>
              <w:spacing w:after="0"/>
              <w:rPr>
                <w:sz w:val="20"/>
                <w:szCs w:val="20"/>
                <w:color w:val="auto"/>
              </w:rPr>
            </w:pPr>
            <w:r>
              <w:rPr>
                <w:rFonts w:ascii="Arial" w:cs="Arial" w:eastAsia="Arial" w:hAnsi="Arial"/>
                <w:sz w:val="14"/>
                <w:szCs w:val="14"/>
                <w:color w:val="auto"/>
              </w:rPr>
              <w:t>Zhongshan, China</w:t>
            </w:r>
          </w:p>
        </w:tc>
        <w:tc>
          <w:tcPr>
            <w:tcW w:w="162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00"/>
          </w:cols>
          <w:pgMar w:left="340" w:top="1440" w:right="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22.0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List of Guarantor 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Workhorse Rail,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Standard Car Truck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Schaefer Equipment,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Wabtec Railway Electronics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Wabtec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RFPC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Wabtec Transportation Systems,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 Transportation, A Wabtec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Systems Services Operations,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IP Holdings, LLC</w:t>
      </w:r>
    </w:p>
    <w:p>
      <w:pPr>
        <w:sectPr>
          <w:pgSz w:w="11900" w:h="16838" w:orient="portrait"/>
          <w:cols w:equalWidth="0" w:num="1">
            <w:col w:w="11220"/>
          </w:cols>
          <w:pgMar w:left="340" w:top="141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660" w:right="4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333-53753) pertaining to the 1998 Employee Stock Purchase Plan of Westinghouse Air Brake Technologies Corporation,</w:t>
      </w:r>
    </w:p>
    <w:p>
      <w:pPr>
        <w:spacing w:after="0" w:line="8"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333-39159) pertaining to the 1997 Executive Retirement Plan of Westinghouse Air Brake Technologies Corporation,</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333-02979) pertaining to the 1995 Non-Employee Directors’ Fee and Stock Option Plan of Westinghouse Air Brake Technologies Corporation,</w:t>
      </w:r>
    </w:p>
    <w:p>
      <w:pPr>
        <w:spacing w:after="0" w:line="8" w:lineRule="exact"/>
        <w:rPr>
          <w:rFonts w:ascii="Arial" w:cs="Arial" w:eastAsia="Arial" w:hAnsi="Arial"/>
          <w:sz w:val="18"/>
          <w:szCs w:val="18"/>
          <w:color w:val="auto"/>
        </w:rPr>
      </w:pPr>
    </w:p>
    <w:p>
      <w:pPr>
        <w:ind w:left="660" w:right="46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333-115014) pertaining to the 2004 Bonus Plan Agreements of Westinghouse Air Brake Technologies Corporation,</w:t>
      </w:r>
    </w:p>
    <w:p>
      <w:pPr>
        <w:spacing w:after="0" w:line="8" w:lineRule="exact"/>
        <w:rPr>
          <w:rFonts w:ascii="Arial" w:cs="Arial" w:eastAsia="Arial" w:hAnsi="Arial"/>
          <w:sz w:val="18"/>
          <w:szCs w:val="18"/>
          <w:color w:val="auto"/>
        </w:rPr>
      </w:pPr>
    </w:p>
    <w:p>
      <w:pPr>
        <w:ind w:left="660" w:right="70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333-137985) pertaining to the 2000 Stock Incentive Plan of Westinghouse Air Brake Technologies Corporation,</w:t>
      </w:r>
    </w:p>
    <w:p>
      <w:pPr>
        <w:spacing w:after="0" w:line="8" w:lineRule="exact"/>
        <w:rPr>
          <w:rFonts w:ascii="Arial" w:cs="Arial" w:eastAsia="Arial" w:hAnsi="Arial"/>
          <w:sz w:val="18"/>
          <w:szCs w:val="18"/>
          <w:color w:val="auto"/>
        </w:rPr>
      </w:pPr>
    </w:p>
    <w:p>
      <w:pPr>
        <w:ind w:left="660" w:right="78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333-41840) pertaining to the 2000 Stock Inventive Plan of Westinghouse Air Brake Technologies Corporation,</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333-40468) pertaining to the 1995 Non-Employee Directors’ Fee and Stock Option Plan of Westinghouse Air Brake Technologies Corporation,</w:t>
      </w:r>
    </w:p>
    <w:p>
      <w:pPr>
        <w:spacing w:after="0" w:line="8"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333-35744) pertaining to the 2000 Savings Plan of Westinghouse Air Brake Technologies Corporation,</w:t>
      </w:r>
    </w:p>
    <w:p>
      <w:pPr>
        <w:spacing w:after="0" w:line="86" w:lineRule="exact"/>
        <w:rPr>
          <w:rFonts w:ascii="Arial" w:cs="Arial" w:eastAsia="Arial" w:hAnsi="Arial"/>
          <w:sz w:val="16"/>
          <w:szCs w:val="16"/>
          <w:color w:val="auto"/>
        </w:rPr>
      </w:pPr>
    </w:p>
    <w:p>
      <w:pPr>
        <w:ind w:left="660" w:right="900" w:hanging="328"/>
        <w:spacing w:after="0" w:line="277"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333-89086) pertaining to the 2002 Employee Stock Ownership Plan of Westinghouse Air Brake Technologies Corporation,</w:t>
      </w:r>
    </w:p>
    <w:p>
      <w:pPr>
        <w:spacing w:after="0" w:line="8" w:lineRule="exact"/>
        <w:rPr>
          <w:rFonts w:ascii="Arial" w:cs="Arial" w:eastAsia="Arial" w:hAnsi="Arial"/>
          <w:sz w:val="18"/>
          <w:szCs w:val="18"/>
          <w:color w:val="auto"/>
        </w:rPr>
      </w:pPr>
    </w:p>
    <w:p>
      <w:pPr>
        <w:ind w:left="660" w:right="720" w:hanging="328"/>
        <w:spacing w:after="0" w:line="298" w:lineRule="auto"/>
        <w:tabs>
          <w:tab w:leader="none" w:pos="649"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S-8 No. 333-179857) pertaining to the 2011 Stock Incentive Plan of Westinghouse Air Brake Technologies Corporation,</w:t>
      </w:r>
    </w:p>
    <w:p>
      <w:pPr>
        <w:ind w:left="660" w:right="180" w:hanging="328"/>
        <w:spacing w:after="0" w:line="298" w:lineRule="auto"/>
        <w:tabs>
          <w:tab w:leader="none" w:pos="642"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S-8 No. 219662) pertaining to the 1995 Non-Employee Directors' Fee and Stock Option Plan of Westinghouse Air Brake Technologies Corporation,</w:t>
      </w: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219663) pertaining to the 2011 Stock Incentive Plan of Westinghouse Air Brake Technologies Corporation,</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S-3 No. 333-231125) of Westinghouse Air Brake Technologies Corporation,</w:t>
      </w:r>
    </w:p>
    <w:p>
      <w:pPr>
        <w:spacing w:after="0" w:line="74" w:lineRule="exact"/>
        <w:rPr>
          <w:rFonts w:ascii="Arial" w:cs="Arial" w:eastAsia="Arial" w:hAnsi="Arial"/>
          <w:sz w:val="17"/>
          <w:szCs w:val="17"/>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S-3 No. 333-240166) of Westinghouse Air Brake Technologies Corporation,</w:t>
      </w:r>
    </w:p>
    <w:p>
      <w:pPr>
        <w:spacing w:after="0" w:line="74" w:lineRule="exact"/>
        <w:rPr>
          <w:rFonts w:ascii="Arial" w:cs="Arial" w:eastAsia="Arial" w:hAnsi="Arial"/>
          <w:sz w:val="17"/>
          <w:szCs w:val="17"/>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S-3 No. 333-248731) of Westinghouse Air Brake Technologies Corporation, and</w:t>
      </w:r>
    </w:p>
    <w:p>
      <w:pPr>
        <w:spacing w:after="0" w:line="74" w:lineRule="exact"/>
        <w:rPr>
          <w:rFonts w:ascii="Arial" w:cs="Arial" w:eastAsia="Arial" w:hAnsi="Arial"/>
          <w:sz w:val="17"/>
          <w:szCs w:val="17"/>
          <w:color w:val="auto"/>
        </w:rPr>
      </w:pPr>
    </w:p>
    <w:p>
      <w:pPr>
        <w:ind w:left="660" w:right="440" w:hanging="328"/>
        <w:spacing w:after="0" w:line="342"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333-253256) pertaining to the 2011 Stock Incentive Plan (as Amended and Restated effective May 15, 2020) (as amended by Amendment Number One dated January 14, 2021) of Westinghouse Air Brake Technologies Corporation;</w:t>
      </w:r>
    </w:p>
    <w:p>
      <w:pPr>
        <w:spacing w:after="0" w:line="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of our reports dated February 19, 2021,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2020.</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Arial" w:cs="Arial" w:eastAsia="Arial" w:hAnsi="Arial"/>
          <w:sz w:val="18"/>
          <w:szCs w:val="18"/>
          <w:color w:val="auto"/>
        </w:rPr>
      </w:pPr>
    </w:p>
    <w:p>
      <w:pPr>
        <w:ind w:right="420" w:firstLine="494"/>
        <w:spacing w:after="0" w:line="342" w:lineRule="auto"/>
        <w:tabs>
          <w:tab w:leader="none" w:pos="666"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right="140" w:firstLine="656"/>
        <w:spacing w:after="0" w:line="263" w:lineRule="auto"/>
        <w:tabs>
          <w:tab w:leader="none" w:pos="8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20" w:firstLine="656"/>
        <w:spacing w:after="0" w:line="342" w:lineRule="auto"/>
        <w:tabs>
          <w:tab w:leader="none" w:pos="893"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80" w:firstLine="656"/>
        <w:spacing w:after="0" w:line="342" w:lineRule="auto"/>
        <w:tabs>
          <w:tab w:leader="none" w:pos="903"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180" w:firstLine="494"/>
        <w:spacing w:after="0" w:line="308" w:lineRule="auto"/>
        <w:tabs>
          <w:tab w:leader="none" w:pos="66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40" w:firstLine="656"/>
        <w:spacing w:after="0" w:line="277" w:lineRule="auto"/>
        <w:tabs>
          <w:tab w:leader="none" w:pos="8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40" w:firstLine="656"/>
        <w:spacing w:after="0" w:line="277" w:lineRule="auto"/>
        <w:tabs>
          <w:tab w:leader="none" w:pos="9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19, 2021</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jc w:val="center"/>
              <w:ind w:left="1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AFAEL</w:t>
            </w:r>
            <w:r>
              <w:rPr>
                <w:rFonts w:ascii="Arial" w:cs="Arial" w:eastAsia="Arial" w:hAnsi="Arial"/>
                <w:sz w:val="18"/>
                <w:szCs w:val="18"/>
                <w:color w:val="auto"/>
              </w:rPr>
              <w:t xml:space="preserve"> S</w:t>
            </w:r>
            <w:r>
              <w:rPr>
                <w:rFonts w:ascii="Arial" w:cs="Arial" w:eastAsia="Arial" w:hAnsi="Arial"/>
                <w:sz w:val="14"/>
                <w:szCs w:val="14"/>
                <w:color w:val="auto"/>
              </w:rPr>
              <w:t>ANTANA</w:t>
            </w:r>
          </w:p>
        </w:tc>
      </w:tr>
      <w:tr>
        <w:trPr>
          <w:trHeight w:val="218"/>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312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Rafael Santana</w:t>
            </w:r>
          </w:p>
        </w:tc>
      </w:tr>
      <w:tr>
        <w:trPr>
          <w:trHeight w:val="23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312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President and Chief Executive Officer</w:t>
            </w:r>
          </w:p>
        </w:tc>
      </w:tr>
    </w:tbl>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Arial" w:cs="Arial" w:eastAsia="Arial" w:hAnsi="Arial"/>
          <w:sz w:val="18"/>
          <w:szCs w:val="18"/>
          <w:color w:val="auto"/>
        </w:rPr>
      </w:pPr>
    </w:p>
    <w:p>
      <w:pPr>
        <w:ind w:right="420" w:firstLine="494"/>
        <w:spacing w:after="0" w:line="342" w:lineRule="auto"/>
        <w:tabs>
          <w:tab w:leader="none" w:pos="6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right="140" w:firstLine="656"/>
        <w:spacing w:after="0" w:line="263" w:lineRule="auto"/>
        <w:tabs>
          <w:tab w:leader="none" w:pos="8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20" w:firstLine="656"/>
        <w:spacing w:after="0" w:line="342" w:lineRule="auto"/>
        <w:tabs>
          <w:tab w:leader="none" w:pos="893"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80" w:firstLine="656"/>
        <w:spacing w:after="0" w:line="342" w:lineRule="auto"/>
        <w:tabs>
          <w:tab w:leader="none" w:pos="903"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180" w:firstLine="494"/>
        <w:spacing w:after="0" w:line="308" w:lineRule="auto"/>
        <w:tabs>
          <w:tab w:leader="none" w:pos="666"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40" w:firstLine="656"/>
        <w:spacing w:after="0" w:line="277" w:lineRule="auto"/>
        <w:tabs>
          <w:tab w:leader="none" w:pos="8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40" w:firstLine="656"/>
        <w:spacing w:after="0" w:line="277" w:lineRule="auto"/>
        <w:tabs>
          <w:tab w:leader="none" w:pos="90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19, 2021</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18"/>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4"/>
              </w:rPr>
              <w:t>Patrick D. Dugan</w:t>
            </w:r>
          </w:p>
        </w:tc>
      </w:tr>
      <w:tr>
        <w:trPr>
          <w:trHeight w:val="23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3"/>
              </w:rPr>
              <w:t>Executive Vice President Finance and Chief Financial Officer</w:t>
            </w:r>
          </w:p>
        </w:tc>
      </w:tr>
    </w:tbl>
    <w:p>
      <w:pPr>
        <w:sectPr>
          <w:pgSz w:w="11900" w:h="16838" w:orient="portrait"/>
          <w:cols w:equalWidth="0" w:num="1">
            <w:col w:w="11240"/>
          </w:cols>
          <w:pgMar w:left="32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Annual Report on Form 10-K for the year ended December 31, 2020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8" w:lineRule="exact"/>
        <w:rPr>
          <w:sz w:val="20"/>
          <w:szCs w:val="20"/>
          <w:color w:val="auto"/>
        </w:rPr>
      </w:pPr>
    </w:p>
    <w:p>
      <w:pPr>
        <w:ind w:left="1220"/>
        <w:spacing w:after="0"/>
        <w:tabs>
          <w:tab w:leader="none" w:pos="2980" w:val="left"/>
          <w:tab w:leader="none" w:pos="3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AFAEL</w:t>
      </w:r>
      <w:r>
        <w:rPr>
          <w:rFonts w:ascii="Arial" w:cs="Arial" w:eastAsia="Arial" w:hAnsi="Arial"/>
          <w:sz w:val="18"/>
          <w:szCs w:val="18"/>
          <w:color w:val="auto"/>
        </w:rPr>
        <w:t xml:space="preserve"> S</w:t>
      </w:r>
      <w:r>
        <w:rPr>
          <w:rFonts w:ascii="Arial" w:cs="Arial" w:eastAsia="Arial" w:hAnsi="Arial"/>
          <w:sz w:val="14"/>
          <w:szCs w:val="14"/>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14605</wp:posOffset>
            </wp:positionV>
            <wp:extent cx="29832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right="3320"/>
        <w:spacing w:after="0"/>
        <w:rPr>
          <w:sz w:val="20"/>
          <w:szCs w:val="20"/>
          <w:color w:val="auto"/>
        </w:rPr>
      </w:pPr>
      <w:r>
        <w:rPr>
          <w:rFonts w:ascii="Arial" w:cs="Arial" w:eastAsia="Arial" w:hAnsi="Arial"/>
          <w:sz w:val="14"/>
          <w:szCs w:val="14"/>
          <w:b w:val="1"/>
          <w:bCs w:val="1"/>
          <w:color w:val="auto"/>
        </w:rPr>
        <w:t>Rafael Santana</w:t>
      </w:r>
    </w:p>
    <w:p>
      <w:pPr>
        <w:jc w:val="center"/>
        <w:ind w:right="33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59"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February 19, 2021</w:t>
      </w:r>
    </w:p>
    <w:p>
      <w:pPr>
        <w:spacing w:after="0" w:line="270" w:lineRule="exact"/>
        <w:rPr>
          <w:sz w:val="20"/>
          <w:szCs w:val="20"/>
          <w:color w:val="auto"/>
        </w:rPr>
      </w:pPr>
    </w:p>
    <w:p>
      <w:pPr>
        <w:ind w:left="1220"/>
        <w:spacing w:after="0"/>
        <w:tabs>
          <w:tab w:leader="none" w:pos="2920" w:val="left"/>
          <w:tab w:leader="none" w:pos="3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ATRICK</w:t>
      </w:r>
      <w:r>
        <w:rPr>
          <w:rFonts w:ascii="Arial" w:cs="Arial" w:eastAsia="Arial" w:hAnsi="Arial"/>
          <w:sz w:val="17"/>
          <w:szCs w:val="17"/>
          <w:color w:val="auto"/>
        </w:rPr>
        <w:t xml:space="preserve"> D. D</w:t>
      </w:r>
      <w:r>
        <w:rPr>
          <w:rFonts w:ascii="Arial" w:cs="Arial" w:eastAsia="Arial" w:hAnsi="Arial"/>
          <w:sz w:val="13"/>
          <w:szCs w:val="13"/>
          <w:color w:val="auto"/>
        </w:rPr>
        <w:t>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14605</wp:posOffset>
            </wp:positionV>
            <wp:extent cx="29832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right="3320"/>
        <w:spacing w:after="0"/>
        <w:rPr>
          <w:sz w:val="20"/>
          <w:szCs w:val="20"/>
          <w:color w:val="auto"/>
        </w:rPr>
      </w:pPr>
      <w:r>
        <w:rPr>
          <w:rFonts w:ascii="Arial" w:cs="Arial" w:eastAsia="Arial" w:hAnsi="Arial"/>
          <w:sz w:val="14"/>
          <w:szCs w:val="14"/>
          <w:b w:val="1"/>
          <w:bCs w:val="1"/>
          <w:color w:val="auto"/>
        </w:rPr>
        <w:t>Patrick D. Dugan</w:t>
      </w:r>
    </w:p>
    <w:p>
      <w:pPr>
        <w:jc w:val="center"/>
        <w:ind w:right="3320"/>
        <w:spacing w:after="0"/>
        <w:rPr>
          <w:sz w:val="20"/>
          <w:szCs w:val="20"/>
          <w:color w:val="auto"/>
        </w:rPr>
      </w:pPr>
      <w:r>
        <w:rPr>
          <w:rFonts w:ascii="Arial" w:cs="Arial" w:eastAsia="Arial" w:hAnsi="Arial"/>
          <w:sz w:val="14"/>
          <w:szCs w:val="14"/>
          <w:b w:val="1"/>
          <w:bCs w:val="1"/>
          <w:color w:val="auto"/>
        </w:rPr>
        <w:t>Executive Vice President Finance and Chief Financial Officer</w:t>
      </w:r>
    </w:p>
    <w:p>
      <w:pPr>
        <w:spacing w:after="0" w:line="70"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February 19,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2"/>
    </w:lvl>
  </w:abstractNum>
  <w:abstractNum w:abstractNumId="26">
    <w:nsid w:val="3855585C"/>
    <w:multiLevelType w:val="hybridMultilevel"/>
    <w:lvl w:ilvl="0">
      <w:lvlJc w:val="left"/>
      <w:lvlText w:val="3"/>
      <w:numFmt w:val="bullet"/>
      <w:start w:val="1"/>
    </w:lvl>
  </w:abstractNum>
  <w:abstractNum w:abstractNumId="27">
    <w:nsid w:val="70A64E2A"/>
    <w:multiLevelType w:val="hybridMultilevel"/>
    <w:lvl w:ilvl="0">
      <w:lvlJc w:val="left"/>
      <w:lvlText w:val="%1"/>
      <w:numFmt w:val="decimal"/>
      <w:start w:val="10"/>
    </w:lvl>
  </w:abstractNum>
  <w:abstractNum w:abstractNumId="28">
    <w:nsid w:val="6A2342EC"/>
    <w:multiLevelType w:val="hybridMultilevel"/>
    <w:lvl w:ilvl="0">
      <w:lvlJc w:val="left"/>
      <w:lvlText w:val="*"/>
      <w:numFmt w:val="bullet"/>
      <w:start w:val="1"/>
    </w:lvl>
    <w:lvl w:ilvl="1">
      <w:lvlJc w:val="left"/>
      <w:lvlText w:val="%2"/>
      <w:numFmt w:val="decimal"/>
      <w:start w:val="13"/>
    </w:lvl>
  </w:abstractNum>
  <w:abstractNum w:abstractNumId="29">
    <w:nsid w:val="2A487CB0"/>
    <w:multiLevelType w:val="hybridMultilevel"/>
    <w:lvl w:ilvl="0">
      <w:lvlJc w:val="left"/>
      <w:lvlText w:val="**"/>
      <w:numFmt w:val="bullet"/>
      <w:start w:val="1"/>
    </w:lvl>
    <w:lvl w:ilvl="1">
      <w:lvlJc w:val="left"/>
      <w:lvlText w:val="%2"/>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0"/>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lowerRoman"/>
      <w:start w:val="3"/>
    </w:lvl>
  </w:abstractNum>
  <w:abstractNum w:abstractNumId="37">
    <w:nsid w:val="6DE91B18"/>
    <w:multiLevelType w:val="hybridMultilevel"/>
    <w:lvl w:ilvl="0">
      <w:lvlJc w:val="left"/>
      <w:lvlText w:val="%1."/>
      <w:numFmt w:val="lowerRoman"/>
      <w:start w:val="4"/>
    </w:lvl>
  </w:abstractNum>
  <w:abstractNum w:abstractNumId="38">
    <w:nsid w:val="38437FDB"/>
    <w:multiLevelType w:val="hybridMultilevel"/>
    <w:lvl w:ilvl="0">
      <w:lvlJc w:val="left"/>
      <w:lvlText w:val="%1."/>
      <w:numFmt w:val="lowerRoman"/>
      <w:start w:val="5"/>
    </w:lvl>
  </w:abstractNum>
  <w:abstractNum w:abstractNumId="39">
    <w:nsid w:val="7644A45C"/>
    <w:multiLevelType w:val="hybridMultilevel"/>
    <w:lvl w:ilvl="0">
      <w:lvlJc w:val="left"/>
      <w:lvlText w:val="%1."/>
      <w:numFmt w:val="lowerRoman"/>
      <w:start w:val="6"/>
    </w:lvl>
  </w:abstractNum>
  <w:abstractNum w:abstractNumId="40">
    <w:nsid w:val="32FFF902"/>
    <w:multiLevelType w:val="hybridMultilevel"/>
    <w:lvl w:ilvl="0">
      <w:lvlJc w:val="left"/>
      <w:lvlText w:val="%1."/>
      <w:numFmt w:val="lowerRoman"/>
      <w:start w:val="9"/>
    </w:lvl>
  </w:abstractNum>
  <w:abstractNum w:abstractNumId="41">
    <w:nsid w:val="684A481A"/>
    <w:multiLevelType w:val="hybridMultilevel"/>
    <w:lvl w:ilvl="0">
      <w:lvlJc w:val="left"/>
      <w:lvlText w:val="%1"/>
      <w:numFmt w:val="lowerLetter"/>
      <w:start w:val="1"/>
    </w:lvl>
    <w:lvl w:ilvl="1">
      <w:lvlJc w:val="left"/>
      <w:lvlText w:val="%2."/>
      <w:numFmt w:val="decimal"/>
      <w:start w:val="1"/>
    </w:lvl>
  </w:abstractNum>
  <w:abstractNum w:abstractNumId="42">
    <w:nsid w:val="579478FE"/>
    <w:multiLevelType w:val="hybridMultilevel"/>
    <w:lvl w:ilvl="0">
      <w:lvlJc w:val="left"/>
      <w:lvlText w:val="(%1)"/>
      <w:numFmt w:val="lowerLetter"/>
      <w:start w:val="1"/>
    </w:lvl>
    <w:lvl w:ilvl="1">
      <w:lvlJc w:val="left"/>
      <w:lvlText w:val="%2"/>
      <w:numFmt w:val="decimal"/>
      <w:start w:val="1"/>
    </w:lvl>
  </w:abstractNum>
  <w:abstractNum w:abstractNumId="43">
    <w:nsid w:val="749ABB43"/>
    <w:multiLevelType w:val="hybridMultilevel"/>
    <w:lvl w:ilvl="0">
      <w:lvlJc w:val="left"/>
      <w:lvlText w:val="(%1)"/>
      <w:numFmt w:val="lowerLetter"/>
      <w:start w:val="4"/>
    </w:lvl>
    <w:lvl w:ilvl="1">
      <w:lvlJc w:val="left"/>
      <w:lvlText w:val="%2."/>
      <w:numFmt w:val="decimal"/>
      <w:start w:val="2"/>
    </w:lvl>
  </w:abstractNum>
  <w:abstractNum w:abstractNumId="44">
    <w:nsid w:val="3DC240FB"/>
    <w:multiLevelType w:val="hybridMultilevel"/>
    <w:lvl w:ilvl="0">
      <w:lvlJc w:val="left"/>
      <w:lvlText w:val="%1"/>
      <w:numFmt w:val="lowerLetter"/>
      <w:start w:val="1"/>
    </w:lvl>
    <w:lvl w:ilvl="1">
      <w:lvlJc w:val="left"/>
      <w:lvlText w:val="%2."/>
      <w:numFmt w:val="decimal"/>
      <w:start w:val="6"/>
    </w:lvl>
  </w:abstractNum>
  <w:abstractNum w:abstractNumId="45">
    <w:nsid w:val="1BA026FA"/>
    <w:multiLevelType w:val="hybridMultilevel"/>
    <w:lvl w:ilvl="0">
      <w:lvlJc w:val="left"/>
      <w:lvlText w:val="(%1)"/>
      <w:numFmt w:val="lowerLetter"/>
      <w:start w:val="1"/>
    </w:lvl>
    <w:lvl w:ilvl="1">
      <w:lvlJc w:val="left"/>
      <w:lvlText w:val="%2."/>
      <w:numFmt w:val="decimal"/>
      <w:start w:val="7"/>
    </w:lvl>
  </w:abstractNum>
  <w:abstractNum w:abstractNumId="46">
    <w:nsid w:val="79A1DEAA"/>
    <w:multiLevelType w:val="hybridMultilevel"/>
    <w:lvl w:ilvl="0">
      <w:lvlJc w:val="left"/>
      <w:lvlText w:val="%1."/>
      <w:numFmt w:val="decimal"/>
      <w:start w:val="8"/>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2"/>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3"/>
    </w:lvl>
  </w:abstractNum>
  <w:abstractNum w:abstractNumId="52">
    <w:nsid w:val="4F4EF005"/>
    <w:multiLevelType w:val="hybridMultilevel"/>
    <w:lvl w:ilvl="0">
      <w:lvlJc w:val="left"/>
      <w:lvlText w:val="%1."/>
      <w:numFmt w:val="decimal"/>
      <w:start w:val="4"/>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101" Type="http://schemas.openxmlformats.org/officeDocument/2006/relationships/image" Target="media/image56.png"/><Relationship Id="rId102" Type="http://schemas.openxmlformats.org/officeDocument/2006/relationships/image" Target="media/image57.png"/><Relationship Id="rId103"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06" Type="http://schemas.openxmlformats.org/officeDocument/2006/relationships/image" Target="media/image61.png"/><Relationship Id="rId107" Type="http://schemas.openxmlformats.org/officeDocument/2006/relationships/image" Target="media/image62.png"/><Relationship Id="rId108" Type="http://schemas.openxmlformats.org/officeDocument/2006/relationships/image" Target="media/image63.png"/><Relationship Id="rId109" Type="http://schemas.openxmlformats.org/officeDocument/2006/relationships/image" Target="media/image64.png"/><Relationship Id="rId110"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59" Type="http://schemas.openxmlformats.org/officeDocument/2006/relationships/hyperlink" Target="http://www.sec.gov/Archives/edgar/data/943452/000119312515340255/d40711dex23.htm" TargetMode="External"/><Relationship Id="rId60" Type="http://schemas.openxmlformats.org/officeDocument/2006/relationships/hyperlink" Target="http://www.sec.gov/Archives/edgar/data/943452/000119312516747971/d171024dex23.htm" TargetMode="External"/><Relationship Id="rId61" Type="http://schemas.openxmlformats.org/officeDocument/2006/relationships/hyperlink" Target="http://www.sec.gov/Archives/edgar/data/943452/000114036119003790/s002675x3_ex10-3.htm" TargetMode="External"/><Relationship Id="rId62" Type="http://schemas.openxmlformats.org/officeDocument/2006/relationships/hyperlink" Target="http://www.sec.gov/Archives/edgar/data/943452/000114036119003790/s002675x3_ex10-2.htm" TargetMode="External"/><Relationship Id="rId63" Type="http://schemas.openxmlformats.org/officeDocument/2006/relationships/hyperlink" Target="http://www.sec.gov/Archives/edgar/data/943452/000119312511046939/dex31.htm" TargetMode="External"/><Relationship Id="rId64" Type="http://schemas.openxmlformats.org/officeDocument/2006/relationships/hyperlink" Target="http://www.sec.gov/Archives/edgar/data/943452/000119312519241107/d800879dex31.htm" TargetMode="External"/><Relationship Id="rId65" Type="http://schemas.openxmlformats.org/officeDocument/2006/relationships/hyperlink" Target="http://www.sec.gov/Archives/edgar/data/943452/000114036121005371/brhc10020545_ex3-1.htm" TargetMode="External"/><Relationship Id="rId66" Type="http://schemas.openxmlformats.org/officeDocument/2006/relationships/hyperlink" Target="http://www.sec.gov/Archives/edgar/data/943452/000162828019002095/wabex34-10k2018.htm" TargetMode="External"/><Relationship Id="rId67" Type="http://schemas.openxmlformats.org/officeDocument/2006/relationships/hyperlink" Target="http://www.sec.gov/Archives/edgar/data/943452/000114036119003790/s002675x3_ex3-1.htm" TargetMode="External"/><Relationship Id="rId68" Type="http://schemas.openxmlformats.org/officeDocument/2006/relationships/hyperlink" Target="http://www.sec.gov/Archives/edgar/data/943452/000119312513326831/d579823dex41.htm" TargetMode="External"/><Relationship Id="rId69" Type="http://schemas.openxmlformats.org/officeDocument/2006/relationships/hyperlink" Target="http://www.sec.gov/Archives/edgar/data/943452/000119312513326831/d579823dex42.htm" TargetMode="External"/><Relationship Id="rId70" Type="http://schemas.openxmlformats.org/officeDocument/2006/relationships/hyperlink" Target="http://www.sec.gov/Archives/edgar/data/943452/000119312516759080/d286174dex42.htm" TargetMode="External"/><Relationship Id="rId73" Type="http://schemas.openxmlformats.org/officeDocument/2006/relationships/hyperlink" Target="http://www.sec.gov/Archives/edgar/data/943452/000119312516759080/d286174dex43.htm" TargetMode="External"/><Relationship Id="rId74" Type="http://schemas.openxmlformats.org/officeDocument/2006/relationships/hyperlink" Target="https://www.sec.gov/Archives/edgar/data/943452/000119312516759080/d286174dex43.htm" TargetMode="External"/><Relationship Id="rId75" Type="http://schemas.openxmlformats.org/officeDocument/2006/relationships/hyperlink" Target="http://www.sec.gov/Archives/edgar/data/943452/000162828017001863/wabex4910k2016.htm" TargetMode="External"/><Relationship Id="rId76" Type="http://schemas.openxmlformats.org/officeDocument/2006/relationships/hyperlink" Target="http://www.sec.gov/Archives/edgar/data/943452/000162828017004956/exhibit41.htm" TargetMode="External"/><Relationship Id="rId77" Type="http://schemas.openxmlformats.org/officeDocument/2006/relationships/hyperlink" Target="http://www.sec.gov/Archives/edgar/data/943452/000119312517231307/d326636dex410.htm" TargetMode="External"/><Relationship Id="rId78" Type="http://schemas.openxmlformats.org/officeDocument/2006/relationships/hyperlink" Target="http://www.sec.gov/Archives/edgar/data/943452/000162828018009841/wabexseventhsupplemental.htm" TargetMode="External"/><Relationship Id="rId79" Type="http://schemas.openxmlformats.org/officeDocument/2006/relationships/hyperlink" Target="http://www.sec.gov/Archives/edgar/data/943452/000162828018009841/wabexeigthsupplementalin.htm" TargetMode="External"/><Relationship Id="rId80" Type="http://schemas.openxmlformats.org/officeDocument/2006/relationships/hyperlink" Target="http://www.sec.gov/Archives/edgar/data/943452/000114036118038440/s002426x14_ex4-3.htm" TargetMode="External"/><Relationship Id="rId81" Type="http://schemas.openxmlformats.org/officeDocument/2006/relationships/hyperlink" Target="http://www.sec.gov/Archives/edgar/data/943452/000162828019009750/wabex41q22019.htm" TargetMode="External"/><Relationship Id="rId82" Type="http://schemas.openxmlformats.org/officeDocument/2006/relationships/hyperlink" Target="http://www.sec.gov/Archives/edgar/data/943452/000114036120015073/ex4_4.htm" TargetMode="External"/><Relationship Id="rId83" Type="http://schemas.openxmlformats.org/officeDocument/2006/relationships/hyperlink" Target="http://www.sec.gov/Archives/edgar/data/943452/000119312517105511/d323634ddef14a.htm#toc323634_49" TargetMode="External"/><Relationship Id="rId84" Type="http://schemas.openxmlformats.org/officeDocument/2006/relationships/hyperlink" Target="http://www.sec.gov/Archives/edgar/data/943452/000119312517105511/d323634ddef14a.htm#toc323634_48" TargetMode="External"/><Relationship Id="rId85" Type="http://schemas.openxmlformats.org/officeDocument/2006/relationships/hyperlink" Target="http://www.sec.gov/Archives/edgar/data/943452/000119312506079330/ddef14a.htm" TargetMode="External"/><Relationship Id="rId86" Type="http://schemas.openxmlformats.org/officeDocument/2006/relationships/hyperlink" Target="http://www.sec.gov/Archives/edgar/data/943452/000119312506107416/dex101.htm" TargetMode="External"/><Relationship Id="rId87" Type="http://schemas.openxmlformats.org/officeDocument/2006/relationships/hyperlink" Target="http://www.sec.gov/Archives/edgar/data/943452/000119312513071115/d448585dex107.htm" TargetMode="External"/><Relationship Id="rId88" Type="http://schemas.openxmlformats.org/officeDocument/2006/relationships/hyperlink" Target="http://www.sec.gov/Archives/edgar/data/943452/000119312508227810/dex101.htm" TargetMode="External"/><Relationship Id="rId89" Type="http://schemas.openxmlformats.org/officeDocument/2006/relationships/hyperlink" Target="http://www.sec.gov/Archives/edgar/data/943452/000119312509143629/dex101.htm" TargetMode="External"/><Relationship Id="rId90" Type="http://schemas.openxmlformats.org/officeDocument/2006/relationships/hyperlink" Target="http://www.sec.gov/Archives/edgar/data/943452/000119312513071115/d448585dex1012.htm" TargetMode="External"/><Relationship Id="rId91" Type="http://schemas.openxmlformats.org/officeDocument/2006/relationships/hyperlink" Target="http://www.sec.gov/Archives/edgar/data/943452/000119312513071115/d448585dex1013.htm" TargetMode="External"/><Relationship Id="rId92" Type="http://schemas.openxmlformats.org/officeDocument/2006/relationships/hyperlink" Target="http://www.sec.gov/Archives/edgar/data/943452/000119312513071115/d448585dex1014.htm" TargetMode="External"/><Relationship Id="rId93" Type="http://schemas.openxmlformats.org/officeDocument/2006/relationships/hyperlink" Target="http://www.sec.gov/Archives/edgar/data/943452/000119312513071115/d448585dex1015.htm" TargetMode="External"/><Relationship Id="rId96" Type="http://schemas.openxmlformats.org/officeDocument/2006/relationships/hyperlink" Target="http://www.sec.gov/Archives/edgar/data/943452/000162828018009841/wabex1019q22018.htm" TargetMode="External"/><Relationship Id="rId97" Type="http://schemas.openxmlformats.org/officeDocument/2006/relationships/hyperlink" Target="http://www.sec.gov/Archives/edgar/data/943452/000162828019002095/wabex1020-10k2018.htm" TargetMode="External"/><Relationship Id="rId98" Type="http://schemas.openxmlformats.org/officeDocument/2006/relationships/hyperlink" Target="http://www.sec.gov/Archives/edgar/data/943452/000162828019006382/wabex101q12019.htm" TargetMode="External"/><Relationship Id="rId99" Type="http://schemas.openxmlformats.org/officeDocument/2006/relationships/hyperlink" Target="http://www.sec.gov/Archives/edgar/data/943452/000162828019006382/wabex102q12019.htm" TargetMode="External"/><Relationship Id="rId100" Type="http://schemas.openxmlformats.org/officeDocument/2006/relationships/hyperlink" Target="http://www.sec.gov/Archives/edgar/data/943452/00011403612001093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2021-02-19T14:10:20Z</dcterms:created>
  <dcterms:modified xsi:type="dcterms:W3CDTF">2021-02-19T14:10:20Z</dcterms:modified>
</cp:coreProperties>
</file>